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18" w:rsidRPr="001E3C2E" w:rsidRDefault="00155857" w:rsidP="00D57D18">
      <w:pPr>
        <w:jc w:val="both"/>
      </w:pPr>
      <w:r>
        <w:rPr>
          <w:noProof/>
        </w:rPr>
        <w:drawing>
          <wp:anchor distT="0" distB="0" distL="114300" distR="114300" simplePos="0" relativeHeight="251657728" behindDoc="1" locked="0" layoutInCell="1" allowOverlap="1" wp14:anchorId="370E5C58" wp14:editId="3CF9798E">
            <wp:simplePos x="0" y="0"/>
            <wp:positionH relativeFrom="column">
              <wp:posOffset>1271905</wp:posOffset>
            </wp:positionH>
            <wp:positionV relativeFrom="paragraph">
              <wp:posOffset>-154305</wp:posOffset>
            </wp:positionV>
            <wp:extent cx="3399790" cy="487680"/>
            <wp:effectExtent l="0" t="0" r="0" b="762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9790" cy="487680"/>
                    </a:xfrm>
                    <a:prstGeom prst="rect">
                      <a:avLst/>
                    </a:prstGeom>
                    <a:noFill/>
                  </pic:spPr>
                </pic:pic>
              </a:graphicData>
            </a:graphic>
            <wp14:sizeRelH relativeFrom="page">
              <wp14:pctWidth>0</wp14:pctWidth>
            </wp14:sizeRelH>
            <wp14:sizeRelV relativeFrom="page">
              <wp14:pctHeight>0</wp14:pctHeight>
            </wp14:sizeRelV>
          </wp:anchor>
        </w:drawing>
      </w:r>
    </w:p>
    <w:p w:rsidR="00CB5698" w:rsidRDefault="00CB5698" w:rsidP="00653169">
      <w:pPr>
        <w:jc w:val="both"/>
      </w:pPr>
      <w:r>
        <w:tab/>
      </w:r>
    </w:p>
    <w:p w:rsidR="00CB5698" w:rsidRDefault="00CB5698"/>
    <w:p w:rsidR="00CB5698" w:rsidRDefault="00CB5698"/>
    <w:p w:rsidR="00CB5698" w:rsidRDefault="00CB5698"/>
    <w:p w:rsidR="00CB5698" w:rsidRDefault="00CB5698">
      <w:pPr>
        <w:tabs>
          <w:tab w:val="center" w:pos="4680"/>
        </w:tabs>
        <w:rPr>
          <w:b/>
          <w:sz w:val="28"/>
        </w:rPr>
      </w:pPr>
      <w:r>
        <w:tab/>
      </w:r>
      <w:r>
        <w:rPr>
          <w:b/>
          <w:sz w:val="28"/>
        </w:rPr>
        <w:t>M E M O R A N D U M</w:t>
      </w:r>
    </w:p>
    <w:p w:rsidR="00CB5698" w:rsidRDefault="00CB5698"/>
    <w:tbl>
      <w:tblPr>
        <w:tblW w:w="0" w:type="auto"/>
        <w:tblInd w:w="120" w:type="dxa"/>
        <w:tblLayout w:type="fixed"/>
        <w:tblCellMar>
          <w:top w:w="43" w:type="dxa"/>
          <w:left w:w="120" w:type="dxa"/>
          <w:right w:w="120" w:type="dxa"/>
        </w:tblCellMar>
        <w:tblLook w:val="0000" w:firstRow="0" w:lastRow="0" w:firstColumn="0" w:lastColumn="0" w:noHBand="0" w:noVBand="0"/>
      </w:tblPr>
      <w:tblGrid>
        <w:gridCol w:w="1260"/>
        <w:gridCol w:w="8100"/>
      </w:tblGrid>
      <w:tr w:rsidR="00CB5698">
        <w:trPr>
          <w:cantSplit/>
          <w:trHeight w:val="565"/>
        </w:trPr>
        <w:tc>
          <w:tcPr>
            <w:tcW w:w="1260" w:type="dxa"/>
          </w:tcPr>
          <w:p w:rsidR="00CB5698" w:rsidRDefault="00CB5698" w:rsidP="007D5992">
            <w:r>
              <w:rPr>
                <w:b/>
              </w:rPr>
              <w:t>TO:</w:t>
            </w:r>
          </w:p>
        </w:tc>
        <w:tc>
          <w:tcPr>
            <w:tcW w:w="8100" w:type="dxa"/>
          </w:tcPr>
          <w:p w:rsidR="00CB5698" w:rsidRDefault="00196BB2" w:rsidP="007D5992">
            <w:bookmarkStart w:id="0" w:name="To"/>
            <w:bookmarkEnd w:id="0"/>
            <w:r>
              <w:t>Kari Thurlow</w:t>
            </w:r>
          </w:p>
        </w:tc>
      </w:tr>
      <w:tr w:rsidR="00CB5698">
        <w:trPr>
          <w:cantSplit/>
          <w:trHeight w:val="540"/>
        </w:trPr>
        <w:tc>
          <w:tcPr>
            <w:tcW w:w="1260" w:type="dxa"/>
          </w:tcPr>
          <w:p w:rsidR="00CB5698" w:rsidRDefault="00CB5698" w:rsidP="00A65E70">
            <w:pPr>
              <w:spacing w:after="48"/>
            </w:pPr>
            <w:r>
              <w:rPr>
                <w:b/>
              </w:rPr>
              <w:t>FROM:</w:t>
            </w:r>
          </w:p>
        </w:tc>
        <w:tc>
          <w:tcPr>
            <w:tcW w:w="8100" w:type="dxa"/>
          </w:tcPr>
          <w:p w:rsidR="00864220" w:rsidRDefault="002664A8" w:rsidP="007D5992">
            <w:bookmarkStart w:id="1" w:name="From"/>
            <w:bookmarkEnd w:id="1"/>
            <w:r>
              <w:t>Penelope J. Phillips</w:t>
            </w:r>
          </w:p>
          <w:p w:rsidR="00155857" w:rsidRDefault="00155857" w:rsidP="007D5992">
            <w:r>
              <w:t>Grant T. Collins</w:t>
            </w:r>
          </w:p>
          <w:p w:rsidR="00155857" w:rsidRDefault="00155857" w:rsidP="007D5992"/>
        </w:tc>
      </w:tr>
      <w:tr w:rsidR="00CB5698">
        <w:trPr>
          <w:cantSplit/>
          <w:trHeight w:val="540"/>
        </w:trPr>
        <w:tc>
          <w:tcPr>
            <w:tcW w:w="1260" w:type="dxa"/>
          </w:tcPr>
          <w:p w:rsidR="00CB5698" w:rsidRDefault="00CB5698" w:rsidP="00A65E70">
            <w:pPr>
              <w:spacing w:after="48"/>
            </w:pPr>
            <w:r>
              <w:rPr>
                <w:b/>
              </w:rPr>
              <w:t>DATE:</w:t>
            </w:r>
          </w:p>
        </w:tc>
        <w:tc>
          <w:tcPr>
            <w:tcW w:w="8100" w:type="dxa"/>
          </w:tcPr>
          <w:p w:rsidR="00CB5698" w:rsidRDefault="00D46391" w:rsidP="007D5992">
            <w:bookmarkStart w:id="2" w:name="Date"/>
            <w:bookmarkEnd w:id="2"/>
            <w:r>
              <w:t>June 23</w:t>
            </w:r>
            <w:r w:rsidR="00155857">
              <w:t>, 2020</w:t>
            </w:r>
          </w:p>
        </w:tc>
      </w:tr>
      <w:tr w:rsidR="00CB5698">
        <w:trPr>
          <w:cantSplit/>
          <w:trHeight w:val="540"/>
        </w:trPr>
        <w:tc>
          <w:tcPr>
            <w:tcW w:w="1260" w:type="dxa"/>
          </w:tcPr>
          <w:p w:rsidR="00CB5698" w:rsidRDefault="00CB5698" w:rsidP="00A65E70">
            <w:pPr>
              <w:spacing w:after="48"/>
            </w:pPr>
            <w:r>
              <w:rPr>
                <w:b/>
              </w:rPr>
              <w:t>RE:</w:t>
            </w:r>
          </w:p>
        </w:tc>
        <w:tc>
          <w:tcPr>
            <w:tcW w:w="8100" w:type="dxa"/>
          </w:tcPr>
          <w:p w:rsidR="00CB5698" w:rsidRDefault="00155857" w:rsidP="007D5992">
            <w:bookmarkStart w:id="3" w:name="Re"/>
            <w:bookmarkEnd w:id="3"/>
            <w:r>
              <w:t>Updated COVID-19 Testing</w:t>
            </w:r>
          </w:p>
        </w:tc>
      </w:tr>
      <w:tr w:rsidR="003C1491">
        <w:trPr>
          <w:cantSplit/>
          <w:trHeight w:val="540"/>
        </w:trPr>
        <w:tc>
          <w:tcPr>
            <w:tcW w:w="1260" w:type="dxa"/>
          </w:tcPr>
          <w:p w:rsidR="003C1491" w:rsidRDefault="003C1491" w:rsidP="00196BB2">
            <w:pPr>
              <w:spacing w:after="48"/>
              <w:rPr>
                <w:b/>
              </w:rPr>
            </w:pPr>
          </w:p>
        </w:tc>
        <w:tc>
          <w:tcPr>
            <w:tcW w:w="8100" w:type="dxa"/>
          </w:tcPr>
          <w:p w:rsidR="003C1491" w:rsidRDefault="003C1491" w:rsidP="00196BB2">
            <w:r>
              <w:t xml:space="preserve">Our File No: </w:t>
            </w:r>
            <w:bookmarkStart w:id="4" w:name="FileNo"/>
            <w:bookmarkEnd w:id="4"/>
            <w:r w:rsidR="00155857">
              <w:t>032365.00001</w:t>
            </w:r>
          </w:p>
        </w:tc>
      </w:tr>
    </w:tbl>
    <w:p w:rsidR="008D1CBF" w:rsidRDefault="008D1CBF" w:rsidP="008D1CBF"/>
    <w:p w:rsidR="00BF674C" w:rsidRPr="001F152A" w:rsidRDefault="002D6BAA" w:rsidP="00EC32D8">
      <w:pPr>
        <w:rPr>
          <w:b/>
        </w:rPr>
      </w:pPr>
      <w:r>
        <w:rPr>
          <w:b/>
        </w:rPr>
        <w:t>ANTIBODY (</w:t>
      </w:r>
      <w:r w:rsidR="00EC32D8" w:rsidRPr="001F152A">
        <w:rPr>
          <w:b/>
        </w:rPr>
        <w:t>SEROLOGY</w:t>
      </w:r>
      <w:r>
        <w:rPr>
          <w:b/>
        </w:rPr>
        <w:t>)</w:t>
      </w:r>
      <w:r w:rsidR="00EC32D8" w:rsidRPr="001F152A">
        <w:rPr>
          <w:b/>
        </w:rPr>
        <w:t xml:space="preserve"> TESTING</w:t>
      </w:r>
      <w:r>
        <w:rPr>
          <w:b/>
        </w:rPr>
        <w:t xml:space="preserve"> OF EMPLOYEES</w:t>
      </w:r>
      <w:r w:rsidR="00EC32D8" w:rsidRPr="001F152A">
        <w:rPr>
          <w:b/>
        </w:rPr>
        <w:t xml:space="preserve"> </w:t>
      </w:r>
      <w:r>
        <w:rPr>
          <w:b/>
        </w:rPr>
        <w:t>(*</w:t>
      </w:r>
      <w:r w:rsidR="00EC32D8" w:rsidRPr="001F152A">
        <w:rPr>
          <w:b/>
        </w:rPr>
        <w:t>UPDATE</w:t>
      </w:r>
      <w:r>
        <w:rPr>
          <w:b/>
        </w:rPr>
        <w:t>*)</w:t>
      </w:r>
    </w:p>
    <w:p w:rsidR="00BF674C" w:rsidRDefault="00BF674C" w:rsidP="00BF674C"/>
    <w:p w:rsidR="00BF674C" w:rsidRDefault="00BF674C" w:rsidP="00BF674C">
      <w:pPr>
        <w:jc w:val="both"/>
      </w:pPr>
      <w:r>
        <w:t xml:space="preserve">In our previous FAQs, we </w:t>
      </w:r>
      <w:r w:rsidR="00862451">
        <w:t xml:space="preserve">left open </w:t>
      </w:r>
      <w:r w:rsidR="002339F2">
        <w:t xml:space="preserve">a definitive answer to </w:t>
      </w:r>
      <w:r w:rsidR="00862451">
        <w:t xml:space="preserve">the question of whether employers </w:t>
      </w:r>
      <w:r>
        <w:t>may test employees for COVID-19 antibodies to determine fitness-for-duty. Nevertheless, we noted caution in using such tests as they were still being developed and were having accuracy and reliability issues.</w:t>
      </w:r>
    </w:p>
    <w:p w:rsidR="00BF674C" w:rsidRDefault="00BF674C" w:rsidP="00BF674C">
      <w:pPr>
        <w:jc w:val="both"/>
      </w:pPr>
    </w:p>
    <w:p w:rsidR="00BF674C" w:rsidRDefault="00BF674C" w:rsidP="00BF674C">
      <w:pPr>
        <w:jc w:val="both"/>
      </w:pPr>
      <w:r>
        <w:t xml:space="preserve">Recently the CDC issued new </w:t>
      </w:r>
      <w:r w:rsidRPr="00196BB2">
        <w:t>guidance</w:t>
      </w:r>
      <w:r>
        <w:t xml:space="preserve"> stating that antibody tests “should </w:t>
      </w:r>
      <w:r w:rsidRPr="002D6BAA">
        <w:rPr>
          <w:b/>
          <w:i/>
          <w:u w:val="single"/>
        </w:rPr>
        <w:t>not</w:t>
      </w:r>
      <w:r>
        <w:t xml:space="preserve"> be used to make decisions about returning persons to the workplace.” In light of th</w:t>
      </w:r>
      <w:r w:rsidR="002339F2">
        <w:t xml:space="preserve">e CDC </w:t>
      </w:r>
      <w:r>
        <w:t xml:space="preserve">guidance, on June 17, the EEOC issued its own </w:t>
      </w:r>
      <w:r w:rsidRPr="00196BB2">
        <w:t>guidance</w:t>
      </w:r>
      <w:r>
        <w:t xml:space="preserve"> stating that employers are </w:t>
      </w:r>
      <w:r w:rsidRPr="002D6BAA">
        <w:rPr>
          <w:b/>
          <w:i/>
          <w:u w:val="single"/>
        </w:rPr>
        <w:t>not</w:t>
      </w:r>
      <w:r>
        <w:t xml:space="preserve"> allowed to use antibody tests because they do not meet the ADA’s “job related and consistent with a business necessity standard for medical examinations or inquiries for current employees.” However, the EEOC also noted that as CDC guidance changes, its own recommendations may change as well. Therefore, we will keep you apprise of any future developments.</w:t>
      </w:r>
    </w:p>
    <w:p w:rsidR="00BF674C" w:rsidRDefault="00BF674C" w:rsidP="00BF674C">
      <w:pPr>
        <w:jc w:val="both"/>
      </w:pPr>
    </w:p>
    <w:p w:rsidR="002D6BAA" w:rsidRPr="002D6BAA" w:rsidRDefault="002D6BAA" w:rsidP="00BF674C">
      <w:pPr>
        <w:jc w:val="both"/>
        <w:rPr>
          <w:b/>
        </w:rPr>
      </w:pPr>
      <w:r>
        <w:rPr>
          <w:b/>
        </w:rPr>
        <w:t>VIRAL TESTING OF EMPLOYEES IS STILL PERMISSIBLE (AND RECOMMENDED)</w:t>
      </w:r>
    </w:p>
    <w:p w:rsidR="002D6BAA" w:rsidRDefault="002D6BAA" w:rsidP="00BF674C">
      <w:pPr>
        <w:jc w:val="both"/>
      </w:pPr>
    </w:p>
    <w:p w:rsidR="00BF674C" w:rsidRDefault="00BF674C" w:rsidP="00BF674C">
      <w:pPr>
        <w:jc w:val="both"/>
      </w:pPr>
      <w:r>
        <w:t>Notwithstanding the above, viral tests (</w:t>
      </w:r>
      <w:r>
        <w:rPr>
          <w:i/>
        </w:rPr>
        <w:t>i.e.</w:t>
      </w:r>
      <w:r>
        <w:t xml:space="preserve">, nasal swab tests) are still permissible under the ADA and may still be utilized. </w:t>
      </w:r>
      <w:r w:rsidR="00EC32D8">
        <w:t xml:space="preserve">What happens, however, if an employee refuses to have a COVID-19 test? </w:t>
      </w:r>
    </w:p>
    <w:p w:rsidR="00653169" w:rsidRDefault="00653169" w:rsidP="00BF674C">
      <w:pPr>
        <w:jc w:val="both"/>
      </w:pPr>
    </w:p>
    <w:p w:rsidR="008474D6" w:rsidRPr="002C4871" w:rsidRDefault="008474D6" w:rsidP="00155857">
      <w:pPr>
        <w:jc w:val="both"/>
        <w:rPr>
          <w:spacing w:val="3"/>
          <w:szCs w:val="24"/>
          <w:shd w:val="clear" w:color="auto" w:fill="FFFFFF"/>
        </w:rPr>
      </w:pPr>
      <w:r w:rsidRPr="002C4871">
        <w:rPr>
          <w:spacing w:val="3"/>
          <w:szCs w:val="24"/>
          <w:shd w:val="clear" w:color="auto" w:fill="FFFFFF"/>
        </w:rPr>
        <w:t>May employers make COVID-19 tests mandatory</w:t>
      </w:r>
      <w:r w:rsidR="00DB1A62">
        <w:rPr>
          <w:spacing w:val="3"/>
          <w:szCs w:val="24"/>
          <w:shd w:val="clear" w:color="auto" w:fill="FFFFFF"/>
        </w:rPr>
        <w:t xml:space="preserve"> – that is</w:t>
      </w:r>
      <w:r w:rsidR="00120DCE">
        <w:rPr>
          <w:spacing w:val="3"/>
          <w:szCs w:val="24"/>
          <w:shd w:val="clear" w:color="auto" w:fill="FFFFFF"/>
        </w:rPr>
        <w:t xml:space="preserve">, </w:t>
      </w:r>
      <w:r w:rsidR="00DB1A62">
        <w:rPr>
          <w:spacing w:val="3"/>
          <w:szCs w:val="24"/>
          <w:shd w:val="clear" w:color="auto" w:fill="FFFFFF"/>
        </w:rPr>
        <w:t>a condition of coming to work</w:t>
      </w:r>
      <w:r w:rsidRPr="002C4871">
        <w:rPr>
          <w:spacing w:val="3"/>
          <w:szCs w:val="24"/>
          <w:shd w:val="clear" w:color="auto" w:fill="FFFFFF"/>
        </w:rPr>
        <w:t xml:space="preserve">? According to the EEOC, the answer is </w:t>
      </w:r>
      <w:r w:rsidR="002D6BAA">
        <w:rPr>
          <w:spacing w:val="3"/>
          <w:szCs w:val="24"/>
          <w:shd w:val="clear" w:color="auto" w:fill="FFFFFF"/>
        </w:rPr>
        <w:t>“</w:t>
      </w:r>
      <w:r w:rsidRPr="00653169">
        <w:rPr>
          <w:b/>
          <w:i/>
          <w:spacing w:val="3"/>
          <w:szCs w:val="24"/>
          <w:u w:val="single"/>
          <w:shd w:val="clear" w:color="auto" w:fill="FFFFFF"/>
        </w:rPr>
        <w:t>yes</w:t>
      </w:r>
      <w:r w:rsidRPr="002C4871">
        <w:rPr>
          <w:spacing w:val="3"/>
          <w:szCs w:val="24"/>
          <w:shd w:val="clear" w:color="auto" w:fill="FFFFFF"/>
        </w:rPr>
        <w:t>.</w:t>
      </w:r>
      <w:r w:rsidR="002D6BAA">
        <w:rPr>
          <w:spacing w:val="3"/>
          <w:szCs w:val="24"/>
          <w:shd w:val="clear" w:color="auto" w:fill="FFFFFF"/>
        </w:rPr>
        <w:t>”</w:t>
      </w:r>
      <w:r w:rsidRPr="002C4871">
        <w:rPr>
          <w:spacing w:val="3"/>
          <w:szCs w:val="24"/>
          <w:shd w:val="clear" w:color="auto" w:fill="FFFFFF"/>
        </w:rPr>
        <w:t xml:space="preserve"> </w:t>
      </w:r>
    </w:p>
    <w:p w:rsidR="00007F55" w:rsidRPr="002C4871" w:rsidRDefault="00007F55" w:rsidP="00155857">
      <w:pPr>
        <w:jc w:val="both"/>
        <w:rPr>
          <w:spacing w:val="3"/>
          <w:szCs w:val="24"/>
          <w:shd w:val="clear" w:color="auto" w:fill="FFFFFF"/>
        </w:rPr>
      </w:pPr>
    </w:p>
    <w:p w:rsidR="002C4871" w:rsidRDefault="002C4871" w:rsidP="00936459">
      <w:pPr>
        <w:spacing w:beforeAutospacing="1" w:afterAutospacing="1"/>
        <w:textAlignment w:val="baseline"/>
        <w:rPr>
          <w:b/>
          <w:color w:val="000000"/>
          <w:szCs w:val="24"/>
          <w:bdr w:val="none" w:sz="0" w:space="0" w:color="auto" w:frame="1"/>
        </w:rPr>
      </w:pPr>
    </w:p>
    <w:p w:rsidR="00007F55" w:rsidRPr="00007F55" w:rsidRDefault="00007F55" w:rsidP="00DF6256">
      <w:pPr>
        <w:spacing w:before="100" w:beforeAutospacing="1" w:after="100" w:afterAutospacing="1"/>
        <w:ind w:left="720" w:right="720"/>
        <w:jc w:val="both"/>
        <w:textAlignment w:val="baseline"/>
        <w:rPr>
          <w:b/>
          <w:color w:val="000000"/>
          <w:szCs w:val="24"/>
        </w:rPr>
      </w:pPr>
      <w:r w:rsidRPr="00D63DAC">
        <w:rPr>
          <w:b/>
          <w:color w:val="000000"/>
          <w:szCs w:val="24"/>
          <w:bdr w:val="none" w:sz="0" w:space="0" w:color="auto" w:frame="1"/>
        </w:rPr>
        <w:lastRenderedPageBreak/>
        <w:t xml:space="preserve">A.6.   May an employer administer a COVID-19 test (a test to detect the presence </w:t>
      </w:r>
      <w:r w:rsidR="00936459">
        <w:rPr>
          <w:b/>
          <w:color w:val="000000"/>
          <w:szCs w:val="24"/>
          <w:bdr w:val="none" w:sz="0" w:space="0" w:color="auto" w:frame="1"/>
        </w:rPr>
        <w:t>o</w:t>
      </w:r>
      <w:r w:rsidRPr="00D63DAC">
        <w:rPr>
          <w:b/>
          <w:color w:val="000000"/>
          <w:szCs w:val="24"/>
          <w:bdr w:val="none" w:sz="0" w:space="0" w:color="auto" w:frame="1"/>
        </w:rPr>
        <w:t>f the COVID-19 virus) before permitting employees to enter the workplace?</w:t>
      </w:r>
      <w:r w:rsidRPr="00007F55">
        <w:rPr>
          <w:b/>
          <w:color w:val="000000"/>
          <w:szCs w:val="24"/>
        </w:rPr>
        <w:t> </w:t>
      </w:r>
      <w:r w:rsidRPr="00D63DAC">
        <w:rPr>
          <w:b/>
          <w:i/>
          <w:iCs/>
          <w:color w:val="000000"/>
          <w:szCs w:val="24"/>
          <w:bdr w:val="none" w:sz="0" w:space="0" w:color="auto" w:frame="1"/>
        </w:rPr>
        <w:t>4/23/20</w:t>
      </w:r>
    </w:p>
    <w:p w:rsidR="00007F55" w:rsidRPr="00007F55" w:rsidRDefault="00007F55" w:rsidP="00653169">
      <w:pPr>
        <w:spacing w:beforeAutospacing="1" w:afterAutospacing="1"/>
        <w:ind w:left="720" w:right="720"/>
        <w:jc w:val="both"/>
        <w:textAlignment w:val="baseline"/>
        <w:rPr>
          <w:color w:val="000000"/>
          <w:szCs w:val="24"/>
        </w:rPr>
      </w:pPr>
      <w:r w:rsidRPr="00007F55">
        <w:rPr>
          <w:color w:val="000000"/>
          <w:szCs w:val="24"/>
        </w:rPr>
        <w:t>The Americans with Disabilities Act (ADA) requires that any mandatory medical test of employees be "job related and consistent with business necessity."  Applying this standard to the current circumstances of the COVID-19 pandemic,</w:t>
      </w:r>
      <w:r w:rsidRPr="00D63DAC">
        <w:rPr>
          <w:i/>
          <w:iCs/>
          <w:color w:val="000000"/>
          <w:szCs w:val="24"/>
          <w:bdr w:val="none" w:sz="0" w:space="0" w:color="auto" w:frame="1"/>
        </w:rPr>
        <w:t> employers may take steps to determine if </w:t>
      </w:r>
      <w:r w:rsidRPr="00D63DAC">
        <w:rPr>
          <w:i/>
          <w:iCs/>
          <w:color w:val="0067B9"/>
          <w:szCs w:val="24"/>
          <w:u w:val="single"/>
          <w:bdr w:val="none" w:sz="0" w:space="0" w:color="auto" w:frame="1"/>
        </w:rPr>
        <w:t>employees entering the workplace have COVID-19</w:t>
      </w:r>
      <w:r w:rsidRPr="00D63DAC">
        <w:rPr>
          <w:i/>
          <w:iCs/>
          <w:color w:val="000000"/>
          <w:szCs w:val="24"/>
          <w:bdr w:val="none" w:sz="0" w:space="0" w:color="auto" w:frame="1"/>
        </w:rPr>
        <w:t> because </w:t>
      </w:r>
      <w:r w:rsidRPr="00D63DAC">
        <w:rPr>
          <w:i/>
          <w:iCs/>
          <w:color w:val="0067B9"/>
          <w:szCs w:val="24"/>
          <w:u w:val="single"/>
          <w:bdr w:val="none" w:sz="0" w:space="0" w:color="auto" w:frame="1"/>
        </w:rPr>
        <w:t>an individual with the virus will pose a direct threat</w:t>
      </w:r>
      <w:r w:rsidRPr="00D63DAC">
        <w:rPr>
          <w:i/>
          <w:iCs/>
          <w:color w:val="000000"/>
          <w:szCs w:val="24"/>
          <w:bdr w:val="none" w:sz="0" w:space="0" w:color="auto" w:frame="1"/>
        </w:rPr>
        <w:t xml:space="preserve"> to the health of others. Therefore, </w:t>
      </w:r>
      <w:r w:rsidRPr="00653169">
        <w:rPr>
          <w:b/>
          <w:i/>
          <w:iCs/>
          <w:color w:val="000000"/>
          <w:szCs w:val="24"/>
          <w:bdr w:val="none" w:sz="0" w:space="0" w:color="auto" w:frame="1"/>
        </w:rPr>
        <w:t>an employer may choose to administer COVID-19 testing to employees before they enter the workplace to determine if they have the virus.</w:t>
      </w:r>
      <w:r w:rsidR="00DB1A62">
        <w:rPr>
          <w:i/>
          <w:iCs/>
          <w:color w:val="000000"/>
          <w:szCs w:val="24"/>
          <w:bdr w:val="none" w:sz="0" w:space="0" w:color="auto" w:frame="1"/>
        </w:rPr>
        <w:t xml:space="preserve"> . . .</w:t>
      </w:r>
    </w:p>
    <w:p w:rsidR="00DB1A62" w:rsidRPr="00007F55" w:rsidRDefault="00DB1A62" w:rsidP="00653169">
      <w:pPr>
        <w:spacing w:beforeAutospacing="1" w:afterAutospacing="1"/>
        <w:jc w:val="both"/>
        <w:textAlignment w:val="baseline"/>
        <w:rPr>
          <w:color w:val="000000"/>
          <w:szCs w:val="24"/>
        </w:rPr>
      </w:pPr>
      <w:r>
        <w:rPr>
          <w:color w:val="000000"/>
          <w:szCs w:val="24"/>
        </w:rPr>
        <w:t>Developing a</w:t>
      </w:r>
      <w:r w:rsidR="00417745">
        <w:rPr>
          <w:color w:val="000000"/>
          <w:szCs w:val="24"/>
        </w:rPr>
        <w:t>n</w:t>
      </w:r>
      <w:r>
        <w:rPr>
          <w:color w:val="000000"/>
          <w:szCs w:val="24"/>
        </w:rPr>
        <w:t xml:space="preserve"> </w:t>
      </w:r>
      <w:r w:rsidR="00417745">
        <w:rPr>
          <w:color w:val="000000"/>
          <w:szCs w:val="24"/>
        </w:rPr>
        <w:t xml:space="preserve">effective </w:t>
      </w:r>
      <w:r>
        <w:rPr>
          <w:color w:val="000000"/>
          <w:szCs w:val="24"/>
        </w:rPr>
        <w:t xml:space="preserve">testing regime </w:t>
      </w:r>
      <w:r w:rsidR="00417745">
        <w:rPr>
          <w:color w:val="000000"/>
          <w:szCs w:val="24"/>
        </w:rPr>
        <w:t>is best accomplished in partnership with a medical professional.  The medical professional can assist with developing the appropriate cadence for testing (e.g., once per month) as well as additional testing protocol for employees who travel to areas with community spread or who recently recovered from symptoms.  Partnership with employment counsel is also essential in order to ensure that all testing is done in accordance with state and federal law.</w:t>
      </w:r>
      <w:r w:rsidR="002A5B96">
        <w:rPr>
          <w:color w:val="000000"/>
          <w:szCs w:val="24"/>
        </w:rPr>
        <w:t xml:space="preserve">  Minnesota law, for example, requires employers to pay for any employment-related testing, employer</w:t>
      </w:r>
      <w:r w:rsidR="00864220">
        <w:rPr>
          <w:color w:val="000000"/>
          <w:szCs w:val="24"/>
        </w:rPr>
        <w:t>s must</w:t>
      </w:r>
      <w:r w:rsidR="002A5B96">
        <w:rPr>
          <w:color w:val="000000"/>
          <w:szCs w:val="24"/>
        </w:rPr>
        <w:t xml:space="preserve"> obtain the employee’s consent prior to testing, and it requires </w:t>
      </w:r>
      <w:r w:rsidR="00864220">
        <w:rPr>
          <w:color w:val="000000"/>
          <w:szCs w:val="24"/>
        </w:rPr>
        <w:t>employers maintain separate confidential medical files.</w:t>
      </w:r>
      <w:r w:rsidR="002A5B96">
        <w:rPr>
          <w:color w:val="000000"/>
          <w:szCs w:val="24"/>
        </w:rPr>
        <w:t xml:space="preserve">  </w:t>
      </w:r>
    </w:p>
    <w:p w:rsidR="002339F2" w:rsidRDefault="002339F2" w:rsidP="002339F2">
      <w:pPr>
        <w:rPr>
          <w:b/>
          <w:color w:val="333333"/>
          <w:spacing w:val="3"/>
          <w:szCs w:val="24"/>
          <w:shd w:val="clear" w:color="auto" w:fill="FFFFFF"/>
        </w:rPr>
      </w:pPr>
      <w:r>
        <w:rPr>
          <w:b/>
          <w:color w:val="333333"/>
          <w:spacing w:val="3"/>
          <w:szCs w:val="24"/>
          <w:shd w:val="clear" w:color="auto" w:fill="FFFFFF"/>
        </w:rPr>
        <w:t>CAN EMPLOYEES REFUSE TO BE TESTED FOR COVID-19?</w:t>
      </w:r>
    </w:p>
    <w:p w:rsidR="002339F2" w:rsidRDefault="002339F2" w:rsidP="00155857">
      <w:pPr>
        <w:jc w:val="both"/>
        <w:rPr>
          <w:color w:val="333333"/>
          <w:spacing w:val="3"/>
          <w:szCs w:val="24"/>
          <w:shd w:val="clear" w:color="auto" w:fill="FFFFFF"/>
        </w:rPr>
      </w:pPr>
    </w:p>
    <w:p w:rsidR="009F25D0" w:rsidRDefault="0077710B" w:rsidP="00155857">
      <w:pPr>
        <w:jc w:val="both"/>
        <w:rPr>
          <w:spacing w:val="3"/>
          <w:szCs w:val="24"/>
          <w:shd w:val="clear" w:color="auto" w:fill="FFFFFF"/>
        </w:rPr>
      </w:pPr>
      <w:r>
        <w:rPr>
          <w:spacing w:val="3"/>
          <w:szCs w:val="24"/>
          <w:shd w:val="clear" w:color="auto" w:fill="FFFFFF"/>
        </w:rPr>
        <w:t xml:space="preserve">The answer is simple: of course an </w:t>
      </w:r>
      <w:r w:rsidR="009F25D0">
        <w:rPr>
          <w:spacing w:val="3"/>
          <w:szCs w:val="24"/>
          <w:shd w:val="clear" w:color="auto" w:fill="FFFFFF"/>
        </w:rPr>
        <w:t>employee can refuse to be tested for COVID-19.</w:t>
      </w:r>
      <w:r w:rsidR="006071AC">
        <w:rPr>
          <w:spacing w:val="3"/>
          <w:szCs w:val="24"/>
          <w:shd w:val="clear" w:color="auto" w:fill="FFFFFF"/>
        </w:rPr>
        <w:t xml:space="preserve">  </w:t>
      </w:r>
      <w:r w:rsidR="009F25D0">
        <w:rPr>
          <w:spacing w:val="3"/>
          <w:szCs w:val="24"/>
          <w:shd w:val="clear" w:color="auto" w:fill="FFFFFF"/>
        </w:rPr>
        <w:t>The real question is whether an employer can discipline or refuse to allow an employee to return to work if the employee refuses to be tested for COVID-19.</w:t>
      </w:r>
      <w:r w:rsidR="006071AC">
        <w:rPr>
          <w:spacing w:val="3"/>
          <w:szCs w:val="24"/>
          <w:shd w:val="clear" w:color="auto" w:fill="FFFFFF"/>
        </w:rPr>
        <w:t xml:space="preserve">  The answer </w:t>
      </w:r>
      <w:r w:rsidR="00E6466C">
        <w:rPr>
          <w:spacing w:val="3"/>
          <w:szCs w:val="24"/>
          <w:shd w:val="clear" w:color="auto" w:fill="FFFFFF"/>
        </w:rPr>
        <w:t xml:space="preserve">to this question </w:t>
      </w:r>
      <w:r w:rsidR="006071AC">
        <w:rPr>
          <w:spacing w:val="3"/>
          <w:szCs w:val="24"/>
          <w:shd w:val="clear" w:color="auto" w:fill="FFFFFF"/>
        </w:rPr>
        <w:t>depends on two factors: (1) the type of test used and (2) whether the test is part of a</w:t>
      </w:r>
      <w:r w:rsidR="00431E52">
        <w:rPr>
          <w:spacing w:val="3"/>
          <w:szCs w:val="24"/>
          <w:shd w:val="clear" w:color="auto" w:fill="FFFFFF"/>
        </w:rPr>
        <w:t xml:space="preserve"> testing regime</w:t>
      </w:r>
      <w:r w:rsidR="006071AC">
        <w:rPr>
          <w:spacing w:val="3"/>
          <w:szCs w:val="24"/>
          <w:shd w:val="clear" w:color="auto" w:fill="FFFFFF"/>
        </w:rPr>
        <w:t xml:space="preserve"> developed by the employer to prevent the spread of COVID-19.</w:t>
      </w:r>
    </w:p>
    <w:p w:rsidR="009F25D0" w:rsidRDefault="009F25D0" w:rsidP="00155857">
      <w:pPr>
        <w:jc w:val="both"/>
        <w:rPr>
          <w:spacing w:val="3"/>
          <w:szCs w:val="24"/>
          <w:shd w:val="clear" w:color="auto" w:fill="FFFFFF"/>
        </w:rPr>
      </w:pPr>
    </w:p>
    <w:p w:rsidR="009F25D0" w:rsidRDefault="006071AC" w:rsidP="00155857">
      <w:pPr>
        <w:jc w:val="both"/>
      </w:pPr>
      <w:r>
        <w:rPr>
          <w:spacing w:val="3"/>
          <w:szCs w:val="24"/>
          <w:shd w:val="clear" w:color="auto" w:fill="FFFFFF"/>
        </w:rPr>
        <w:t xml:space="preserve">As to the first factor, the CDC and EEOC have made clear that viral testing </w:t>
      </w:r>
      <w:r>
        <w:t>(</w:t>
      </w:r>
      <w:r>
        <w:rPr>
          <w:i/>
        </w:rPr>
        <w:t>i.e.</w:t>
      </w:r>
      <w:r>
        <w:t xml:space="preserve">, nasal swab tests) may be used for mandatory testing.  </w:t>
      </w:r>
      <w:r w:rsidR="00431E52">
        <w:t>A</w:t>
      </w:r>
      <w:r>
        <w:t xml:space="preserve">nti-body tests are not sufficiently accurate to be used for mandatory testing, </w:t>
      </w:r>
      <w:r w:rsidR="00431E52">
        <w:t xml:space="preserve">but </w:t>
      </w:r>
      <w:r w:rsidR="003B0065">
        <w:t>voluntary antibody testing may</w:t>
      </w:r>
      <w:r w:rsidR="00431E52">
        <w:t xml:space="preserve"> be used to</w:t>
      </w:r>
      <w:r w:rsidR="003B0065">
        <w:t xml:space="preserve"> provide information to employees and employers regarding the risks of </w:t>
      </w:r>
      <w:r w:rsidR="00431E52">
        <w:t xml:space="preserve">future </w:t>
      </w:r>
      <w:r w:rsidR="003B0065">
        <w:t>infection</w:t>
      </w:r>
      <w:r w:rsidR="00431E52">
        <w:t>s</w:t>
      </w:r>
      <w:r w:rsidR="003B0065">
        <w:t>.</w:t>
      </w:r>
    </w:p>
    <w:p w:rsidR="003B0065" w:rsidRDefault="003B0065" w:rsidP="00155857">
      <w:pPr>
        <w:jc w:val="both"/>
      </w:pPr>
    </w:p>
    <w:p w:rsidR="003B0065" w:rsidRDefault="003B0065" w:rsidP="00155857">
      <w:pPr>
        <w:jc w:val="both"/>
        <w:rPr>
          <w:spacing w:val="3"/>
          <w:szCs w:val="24"/>
          <w:shd w:val="clear" w:color="auto" w:fill="FFFFFF"/>
        </w:rPr>
      </w:pPr>
      <w:r>
        <w:t xml:space="preserve">The second factor ensures that testing is conducted in a non-discriminatory manner.  For example, a testing regime can be broad based (e.g., across all job classifications or all customer-facing positions) or it can be limited to instances where there is a specific concern that </w:t>
      </w:r>
      <w:r w:rsidR="0060795C">
        <w:t>certain employees</w:t>
      </w:r>
      <w:r>
        <w:t xml:space="preserve"> had prolonged contact with an i</w:t>
      </w:r>
      <w:r w:rsidR="00431E52">
        <w:t>nfected person.</w:t>
      </w:r>
    </w:p>
    <w:p w:rsidR="006071AC" w:rsidRDefault="006071AC" w:rsidP="00155857">
      <w:pPr>
        <w:jc w:val="both"/>
        <w:rPr>
          <w:spacing w:val="3"/>
          <w:szCs w:val="24"/>
          <w:shd w:val="clear" w:color="auto" w:fill="FFFFFF"/>
        </w:rPr>
      </w:pPr>
    </w:p>
    <w:p w:rsidR="0060795C" w:rsidRDefault="00F03142" w:rsidP="00155857">
      <w:pPr>
        <w:jc w:val="both"/>
        <w:rPr>
          <w:spacing w:val="3"/>
          <w:szCs w:val="24"/>
          <w:shd w:val="clear" w:color="auto" w:fill="FFFFFF"/>
        </w:rPr>
      </w:pPr>
      <w:r>
        <w:rPr>
          <w:spacing w:val="3"/>
          <w:szCs w:val="24"/>
          <w:shd w:val="clear" w:color="auto" w:fill="FFFFFF"/>
        </w:rPr>
        <w:t xml:space="preserve">If an employer meets both factors and its employees </w:t>
      </w:r>
      <w:r w:rsidR="0060795C">
        <w:rPr>
          <w:spacing w:val="3"/>
          <w:szCs w:val="24"/>
          <w:shd w:val="clear" w:color="auto" w:fill="FFFFFF"/>
        </w:rPr>
        <w:t>refuse to be tested</w:t>
      </w:r>
      <w:r>
        <w:rPr>
          <w:spacing w:val="3"/>
          <w:szCs w:val="24"/>
          <w:shd w:val="clear" w:color="auto" w:fill="FFFFFF"/>
        </w:rPr>
        <w:t xml:space="preserve"> for COVID-19</w:t>
      </w:r>
      <w:r w:rsidR="0060795C">
        <w:rPr>
          <w:spacing w:val="3"/>
          <w:szCs w:val="24"/>
          <w:shd w:val="clear" w:color="auto" w:fill="FFFFFF"/>
        </w:rPr>
        <w:t>,</w:t>
      </w:r>
      <w:r>
        <w:rPr>
          <w:spacing w:val="3"/>
          <w:szCs w:val="24"/>
          <w:shd w:val="clear" w:color="auto" w:fill="FFFFFF"/>
        </w:rPr>
        <w:t xml:space="preserve"> then the</w:t>
      </w:r>
      <w:r w:rsidR="0060795C">
        <w:rPr>
          <w:spacing w:val="3"/>
          <w:szCs w:val="24"/>
          <w:shd w:val="clear" w:color="auto" w:fill="FFFFFF"/>
        </w:rPr>
        <w:t xml:space="preserve"> </w:t>
      </w:r>
      <w:r>
        <w:rPr>
          <w:spacing w:val="3"/>
          <w:szCs w:val="24"/>
          <w:shd w:val="clear" w:color="auto" w:fill="FFFFFF"/>
        </w:rPr>
        <w:t>employer</w:t>
      </w:r>
      <w:r w:rsidR="0060795C">
        <w:rPr>
          <w:spacing w:val="3"/>
          <w:szCs w:val="24"/>
          <w:shd w:val="clear" w:color="auto" w:fill="FFFFFF"/>
        </w:rPr>
        <w:t xml:space="preserve"> may lawfully exclude these employees as eligible to work.</w:t>
      </w:r>
      <w:r w:rsidR="00431E52">
        <w:rPr>
          <w:spacing w:val="3"/>
          <w:szCs w:val="24"/>
          <w:shd w:val="clear" w:color="auto" w:fill="FFFFFF"/>
        </w:rPr>
        <w:t xml:space="preserve">  Rather than utilizing progressive discipline, employers would be better served to place the employee on an unpaid leave of absence</w:t>
      </w:r>
      <w:r w:rsidR="00E6466C">
        <w:rPr>
          <w:spacing w:val="3"/>
          <w:szCs w:val="24"/>
          <w:shd w:val="clear" w:color="auto" w:fill="FFFFFF"/>
        </w:rPr>
        <w:t>, although ultimately, a continued refusal to be tested could result in discipline</w:t>
      </w:r>
      <w:r w:rsidR="00431E52">
        <w:rPr>
          <w:spacing w:val="3"/>
          <w:szCs w:val="24"/>
          <w:shd w:val="clear" w:color="auto" w:fill="FFFFFF"/>
        </w:rPr>
        <w:t>.</w:t>
      </w:r>
      <w:r w:rsidR="0060795C">
        <w:rPr>
          <w:spacing w:val="3"/>
          <w:szCs w:val="24"/>
          <w:shd w:val="clear" w:color="auto" w:fill="FFFFFF"/>
        </w:rPr>
        <w:t xml:space="preserve">  If the employer </w:t>
      </w:r>
      <w:r w:rsidR="00431E52">
        <w:rPr>
          <w:spacing w:val="3"/>
          <w:szCs w:val="24"/>
          <w:shd w:val="clear" w:color="auto" w:fill="FFFFFF"/>
        </w:rPr>
        <w:t>is utilizing a</w:t>
      </w:r>
      <w:r w:rsidR="0060795C">
        <w:rPr>
          <w:spacing w:val="3"/>
          <w:szCs w:val="24"/>
          <w:shd w:val="clear" w:color="auto" w:fill="FFFFFF"/>
        </w:rPr>
        <w:t xml:space="preserve"> broad-based testing</w:t>
      </w:r>
      <w:r w:rsidR="00431E52">
        <w:rPr>
          <w:spacing w:val="3"/>
          <w:szCs w:val="24"/>
          <w:shd w:val="clear" w:color="auto" w:fill="FFFFFF"/>
        </w:rPr>
        <w:t xml:space="preserve"> </w:t>
      </w:r>
      <w:r w:rsidR="00431E52">
        <w:rPr>
          <w:spacing w:val="3"/>
          <w:szCs w:val="24"/>
          <w:shd w:val="clear" w:color="auto" w:fill="FFFFFF"/>
        </w:rPr>
        <w:lastRenderedPageBreak/>
        <w:t>strategy</w:t>
      </w:r>
      <w:r w:rsidR="0060795C">
        <w:rPr>
          <w:spacing w:val="3"/>
          <w:szCs w:val="24"/>
          <w:shd w:val="clear" w:color="auto" w:fill="FFFFFF"/>
        </w:rPr>
        <w:t xml:space="preserve">, </w:t>
      </w:r>
      <w:r w:rsidR="00431E52">
        <w:rPr>
          <w:spacing w:val="3"/>
          <w:szCs w:val="24"/>
          <w:shd w:val="clear" w:color="auto" w:fill="FFFFFF"/>
        </w:rPr>
        <w:t>a refusing employee</w:t>
      </w:r>
      <w:r w:rsidR="0060795C">
        <w:rPr>
          <w:spacing w:val="3"/>
          <w:szCs w:val="24"/>
          <w:shd w:val="clear" w:color="auto" w:fill="FFFFFF"/>
        </w:rPr>
        <w:t xml:space="preserve"> may be excluded until the need for such testing abates (</w:t>
      </w:r>
      <w:r w:rsidR="0060795C" w:rsidRPr="00653169">
        <w:rPr>
          <w:i/>
          <w:spacing w:val="3"/>
          <w:szCs w:val="24"/>
          <w:shd w:val="clear" w:color="auto" w:fill="FFFFFF"/>
        </w:rPr>
        <w:t>e.g.</w:t>
      </w:r>
      <w:r w:rsidR="0060795C">
        <w:rPr>
          <w:spacing w:val="3"/>
          <w:szCs w:val="24"/>
          <w:shd w:val="clear" w:color="auto" w:fill="FFFFFF"/>
        </w:rPr>
        <w:t xml:space="preserve">, the pandemic ends and </w:t>
      </w:r>
      <w:r w:rsidR="00431E52">
        <w:rPr>
          <w:spacing w:val="3"/>
          <w:szCs w:val="24"/>
          <w:shd w:val="clear" w:color="auto" w:fill="FFFFFF"/>
        </w:rPr>
        <w:t>the EEOC no longer permits mandatory testing</w:t>
      </w:r>
      <w:r w:rsidR="0060795C">
        <w:rPr>
          <w:spacing w:val="3"/>
          <w:szCs w:val="24"/>
          <w:shd w:val="clear" w:color="auto" w:fill="FFFFFF"/>
        </w:rPr>
        <w:t xml:space="preserve">).  For employers conducting only targeted </w:t>
      </w:r>
      <w:r w:rsidR="00431E52">
        <w:rPr>
          <w:spacing w:val="3"/>
          <w:szCs w:val="24"/>
          <w:shd w:val="clear" w:color="auto" w:fill="FFFFFF"/>
        </w:rPr>
        <w:t xml:space="preserve">COVID-19 </w:t>
      </w:r>
      <w:r w:rsidR="0060795C">
        <w:rPr>
          <w:spacing w:val="3"/>
          <w:szCs w:val="24"/>
          <w:shd w:val="clear" w:color="auto" w:fill="FFFFFF"/>
        </w:rPr>
        <w:t xml:space="preserve">testing, the employee </w:t>
      </w:r>
      <w:r w:rsidR="00431E52">
        <w:rPr>
          <w:spacing w:val="3"/>
          <w:szCs w:val="24"/>
          <w:shd w:val="clear" w:color="auto" w:fill="FFFFFF"/>
        </w:rPr>
        <w:t>may be excluded from the workplace for</w:t>
      </w:r>
      <w:r w:rsidR="0060795C">
        <w:rPr>
          <w:spacing w:val="3"/>
          <w:szCs w:val="24"/>
          <w:shd w:val="clear" w:color="auto" w:fill="FFFFFF"/>
        </w:rPr>
        <w:t xml:space="preserve"> the</w:t>
      </w:r>
      <w:r w:rsidR="00431E52">
        <w:rPr>
          <w:spacing w:val="3"/>
          <w:szCs w:val="24"/>
          <w:shd w:val="clear" w:color="auto" w:fill="FFFFFF"/>
        </w:rPr>
        <w:t xml:space="preserve"> entire</w:t>
      </w:r>
      <w:r w:rsidR="0060795C">
        <w:rPr>
          <w:spacing w:val="3"/>
          <w:szCs w:val="24"/>
          <w:shd w:val="clear" w:color="auto" w:fill="FFFFFF"/>
        </w:rPr>
        <w:t xml:space="preserve"> incubation period of 14 days.</w:t>
      </w:r>
      <w:r w:rsidR="00431E52">
        <w:rPr>
          <w:spacing w:val="3"/>
          <w:szCs w:val="24"/>
          <w:shd w:val="clear" w:color="auto" w:fill="FFFFFF"/>
        </w:rPr>
        <w:t xml:space="preserve">  After that, the employee is arguably able to return </w:t>
      </w:r>
      <w:r w:rsidR="00A47A85">
        <w:rPr>
          <w:spacing w:val="3"/>
          <w:szCs w:val="24"/>
          <w:shd w:val="clear" w:color="auto" w:fill="FFFFFF"/>
        </w:rPr>
        <w:t xml:space="preserve">if </w:t>
      </w:r>
      <w:r w:rsidR="00431E52">
        <w:rPr>
          <w:spacing w:val="3"/>
          <w:szCs w:val="24"/>
          <w:shd w:val="clear" w:color="auto" w:fill="FFFFFF"/>
        </w:rPr>
        <w:t>the employer does not require testing of other, non-exposed employees.</w:t>
      </w:r>
      <w:r w:rsidR="00A47A85">
        <w:rPr>
          <w:spacing w:val="3"/>
          <w:szCs w:val="24"/>
          <w:shd w:val="clear" w:color="auto" w:fill="FFFFFF"/>
        </w:rPr>
        <w:t xml:space="preserve"> </w:t>
      </w:r>
      <w:bookmarkStart w:id="5" w:name="_GoBack"/>
      <w:bookmarkEnd w:id="5"/>
    </w:p>
    <w:p w:rsidR="0060795C" w:rsidRDefault="0060795C" w:rsidP="00155857">
      <w:pPr>
        <w:jc w:val="both"/>
        <w:rPr>
          <w:spacing w:val="3"/>
          <w:szCs w:val="24"/>
          <w:shd w:val="clear" w:color="auto" w:fill="FFFFFF"/>
        </w:rPr>
      </w:pPr>
    </w:p>
    <w:p w:rsidR="006071AC" w:rsidRDefault="0060795C" w:rsidP="00155857">
      <w:pPr>
        <w:jc w:val="both"/>
        <w:rPr>
          <w:spacing w:val="3"/>
          <w:szCs w:val="24"/>
          <w:shd w:val="clear" w:color="auto" w:fill="FFFFFF"/>
        </w:rPr>
      </w:pPr>
      <w:r>
        <w:rPr>
          <w:spacing w:val="3"/>
          <w:szCs w:val="24"/>
          <w:shd w:val="clear" w:color="auto" w:fill="FFFFFF"/>
        </w:rPr>
        <w:t xml:space="preserve">If </w:t>
      </w:r>
      <w:r w:rsidR="00431E52">
        <w:rPr>
          <w:spacing w:val="3"/>
          <w:szCs w:val="24"/>
          <w:shd w:val="clear" w:color="auto" w:fill="FFFFFF"/>
        </w:rPr>
        <w:t>the</w:t>
      </w:r>
      <w:r>
        <w:rPr>
          <w:spacing w:val="3"/>
          <w:szCs w:val="24"/>
          <w:shd w:val="clear" w:color="auto" w:fill="FFFFFF"/>
        </w:rPr>
        <w:t xml:space="preserve"> employee refuses to be tested</w:t>
      </w:r>
      <w:r w:rsidR="00431E52">
        <w:rPr>
          <w:spacing w:val="3"/>
          <w:szCs w:val="24"/>
          <w:shd w:val="clear" w:color="auto" w:fill="FFFFFF"/>
        </w:rPr>
        <w:t xml:space="preserve"> for COVID-19 and cites</w:t>
      </w:r>
      <w:r>
        <w:rPr>
          <w:spacing w:val="3"/>
          <w:szCs w:val="24"/>
          <w:shd w:val="clear" w:color="auto" w:fill="FFFFFF"/>
        </w:rPr>
        <w:t xml:space="preserve"> religious or medical reasons,</w:t>
      </w:r>
      <w:r w:rsidR="00431E52">
        <w:rPr>
          <w:spacing w:val="3"/>
          <w:szCs w:val="24"/>
          <w:shd w:val="clear" w:color="auto" w:fill="FFFFFF"/>
        </w:rPr>
        <w:t xml:space="preserve"> the employer may be required to consider additional accommodations (besides an unpaid leave of absence), such as masking or a potential transfer to an open position not subject to COVID-19 testing.  Legal counsel should be consulted, however, because it may be sufficient to treat the objecting employee the same as other test refusers, and place the employee on an unpaid leave of absence in order to wait for the pandemic to end or for the incubation period to </w:t>
      </w:r>
      <w:r w:rsidR="00F234E4">
        <w:rPr>
          <w:spacing w:val="3"/>
          <w:szCs w:val="24"/>
          <w:shd w:val="clear" w:color="auto" w:fill="FFFFFF"/>
        </w:rPr>
        <w:t>expire</w:t>
      </w:r>
      <w:r w:rsidR="00431E52">
        <w:rPr>
          <w:spacing w:val="3"/>
          <w:szCs w:val="24"/>
          <w:shd w:val="clear" w:color="auto" w:fill="FFFFFF"/>
        </w:rPr>
        <w:t xml:space="preserve">. </w:t>
      </w:r>
      <w:r>
        <w:rPr>
          <w:spacing w:val="3"/>
          <w:szCs w:val="24"/>
          <w:shd w:val="clear" w:color="auto" w:fill="FFFFFF"/>
        </w:rPr>
        <w:t xml:space="preserve"> </w:t>
      </w:r>
    </w:p>
    <w:p w:rsidR="0060795C" w:rsidRDefault="0060795C" w:rsidP="00155857">
      <w:pPr>
        <w:jc w:val="both"/>
        <w:rPr>
          <w:spacing w:val="3"/>
          <w:szCs w:val="24"/>
          <w:shd w:val="clear" w:color="auto" w:fill="FFFFFF"/>
        </w:rPr>
      </w:pPr>
    </w:p>
    <w:p w:rsidR="0060795C" w:rsidRDefault="0060795C" w:rsidP="00155857">
      <w:pPr>
        <w:jc w:val="both"/>
        <w:rPr>
          <w:spacing w:val="3"/>
          <w:szCs w:val="24"/>
          <w:shd w:val="clear" w:color="auto" w:fill="FFFFFF"/>
        </w:rPr>
      </w:pPr>
    </w:p>
    <w:p w:rsidR="009F00E3" w:rsidRPr="000A7F73" w:rsidRDefault="009F00E3" w:rsidP="009F00E3">
      <w:pPr>
        <w:jc w:val="both"/>
        <w:rPr>
          <w:spacing w:val="3"/>
          <w:szCs w:val="24"/>
          <w:shd w:val="clear" w:color="auto" w:fill="FFFFFF"/>
        </w:rPr>
      </w:pPr>
    </w:p>
    <w:sectPr w:rsidR="009F00E3" w:rsidRPr="000A7F73" w:rsidSect="00E60F4B">
      <w:headerReference w:type="even" r:id="rId9"/>
      <w:footerReference w:type="even" r:id="rId10"/>
      <w:footerReference w:type="default" r:id="rId11"/>
      <w:footerReference w:type="first" r:id="rId12"/>
      <w:endnotePr>
        <w:numFmt w:val="lowerLetter"/>
      </w:endnotePr>
      <w:type w:val="continuous"/>
      <w:pgSz w:w="12240" w:h="15840" w:code="1"/>
      <w:pgMar w:top="1440" w:right="1440" w:bottom="1440" w:left="1440" w:header="1440" w:footer="720"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6B" w:rsidRDefault="003F066B">
      <w:r>
        <w:separator/>
      </w:r>
    </w:p>
  </w:endnote>
  <w:endnote w:type="continuationSeparator" w:id="0">
    <w:p w:rsidR="003F066B" w:rsidRDefault="003F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Omega">
    <w:altName w:val="Segoe UI"/>
    <w:panose1 w:val="020B05020505080203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 w:name="_iDocIDField84fb8e0f-5bf4-4cbc-8d19-8b8e"/>
  <w:p w:rsidR="00196BB2" w:rsidRDefault="00196BB2">
    <w:pPr>
      <w:pStyle w:val="DocID"/>
    </w:pPr>
    <w:r>
      <w:fldChar w:fldCharType="begin"/>
    </w:r>
    <w:r>
      <w:instrText xml:space="preserve">  DOCPROPERTY "CUS_DocIDChunk0" </w:instrText>
    </w:r>
    <w:r>
      <w:fldChar w:fldCharType="separate"/>
    </w:r>
    <w:r>
      <w:rPr>
        <w:noProof/>
      </w:rPr>
      <w:t>3315884.v1</w:t>
    </w:r>
    <w:r>
      <w:fldChar w:fldCharType="end"/>
    </w:r>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05102"/>
      <w:docPartObj>
        <w:docPartGallery w:val="Page Numbers (Bottom of Page)"/>
        <w:docPartUnique/>
      </w:docPartObj>
    </w:sdtPr>
    <w:sdtEndPr>
      <w:rPr>
        <w:noProof/>
      </w:rPr>
    </w:sdtEndPr>
    <w:sdtContent>
      <w:p w:rsidR="0007031A" w:rsidRDefault="0007031A">
        <w:pPr>
          <w:pStyle w:val="Footer"/>
          <w:jc w:val="center"/>
        </w:pPr>
        <w:r>
          <w:fldChar w:fldCharType="begin"/>
        </w:r>
        <w:r>
          <w:instrText xml:space="preserve"> PAGE   \* MERGEFORMAT </w:instrText>
        </w:r>
        <w:r>
          <w:fldChar w:fldCharType="separate"/>
        </w:r>
        <w:r w:rsidR="00A47A85">
          <w:rPr>
            <w:noProof/>
          </w:rPr>
          <w:t>3</w:t>
        </w:r>
        <w:r>
          <w:rPr>
            <w:noProof/>
          </w:rPr>
          <w:fldChar w:fldCharType="end"/>
        </w:r>
      </w:p>
    </w:sdtContent>
  </w:sdt>
  <w:p w:rsidR="00196BB2" w:rsidRDefault="00196BB2">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1A" w:rsidRDefault="0007031A">
    <w:pPr>
      <w:pStyle w:val="Footer"/>
      <w:jc w:val="center"/>
    </w:pPr>
  </w:p>
  <w:p w:rsidR="0007031A" w:rsidRDefault="00070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6B" w:rsidRDefault="003F066B">
      <w:r>
        <w:separator/>
      </w:r>
    </w:p>
  </w:footnote>
  <w:footnote w:type="continuationSeparator" w:id="0">
    <w:p w:rsidR="003F066B" w:rsidRDefault="003F0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AB" w:rsidRDefault="00241DAB">
    <w:bookmarkStart w:id="6" w:name="Begin"/>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57"/>
    <w:rsid w:val="00007F55"/>
    <w:rsid w:val="0007031A"/>
    <w:rsid w:val="000A7F73"/>
    <w:rsid w:val="000C49B6"/>
    <w:rsid w:val="00120DCE"/>
    <w:rsid w:val="001527CA"/>
    <w:rsid w:val="00155857"/>
    <w:rsid w:val="00196BB2"/>
    <w:rsid w:val="001B7C65"/>
    <w:rsid w:val="0020312E"/>
    <w:rsid w:val="002339F2"/>
    <w:rsid w:val="00241DAB"/>
    <w:rsid w:val="00255BB6"/>
    <w:rsid w:val="002664A8"/>
    <w:rsid w:val="002A5B96"/>
    <w:rsid w:val="002C4871"/>
    <w:rsid w:val="002D6BAA"/>
    <w:rsid w:val="002E7485"/>
    <w:rsid w:val="003A652E"/>
    <w:rsid w:val="003B0065"/>
    <w:rsid w:val="003B014E"/>
    <w:rsid w:val="003C1491"/>
    <w:rsid w:val="003F066B"/>
    <w:rsid w:val="00417745"/>
    <w:rsid w:val="00431E52"/>
    <w:rsid w:val="00435753"/>
    <w:rsid w:val="00453DD7"/>
    <w:rsid w:val="0048483D"/>
    <w:rsid w:val="00507D01"/>
    <w:rsid w:val="005A57A0"/>
    <w:rsid w:val="005C1259"/>
    <w:rsid w:val="006071AC"/>
    <w:rsid w:val="0060795C"/>
    <w:rsid w:val="00653169"/>
    <w:rsid w:val="00665408"/>
    <w:rsid w:val="006737A2"/>
    <w:rsid w:val="00675317"/>
    <w:rsid w:val="00726560"/>
    <w:rsid w:val="0077710B"/>
    <w:rsid w:val="007A65D7"/>
    <w:rsid w:val="007D2986"/>
    <w:rsid w:val="007D5992"/>
    <w:rsid w:val="00834CF3"/>
    <w:rsid w:val="008474D6"/>
    <w:rsid w:val="00862451"/>
    <w:rsid w:val="00864220"/>
    <w:rsid w:val="008826FE"/>
    <w:rsid w:val="008D1CBF"/>
    <w:rsid w:val="009305AA"/>
    <w:rsid w:val="00936459"/>
    <w:rsid w:val="00967A9C"/>
    <w:rsid w:val="009A7FC6"/>
    <w:rsid w:val="009F00E3"/>
    <w:rsid w:val="009F25D0"/>
    <w:rsid w:val="00A44533"/>
    <w:rsid w:val="00A47A85"/>
    <w:rsid w:val="00A65E70"/>
    <w:rsid w:val="00B92D39"/>
    <w:rsid w:val="00BF674C"/>
    <w:rsid w:val="00C2486F"/>
    <w:rsid w:val="00CB5698"/>
    <w:rsid w:val="00D01590"/>
    <w:rsid w:val="00D020D4"/>
    <w:rsid w:val="00D46391"/>
    <w:rsid w:val="00D57D18"/>
    <w:rsid w:val="00D63DAC"/>
    <w:rsid w:val="00DB1A62"/>
    <w:rsid w:val="00DF6256"/>
    <w:rsid w:val="00E06EA4"/>
    <w:rsid w:val="00E60F4B"/>
    <w:rsid w:val="00E6466C"/>
    <w:rsid w:val="00EC32D8"/>
    <w:rsid w:val="00EF2EB3"/>
    <w:rsid w:val="00F03142"/>
    <w:rsid w:val="00F234E4"/>
    <w:rsid w:val="00FE0504"/>
    <w:rsid w:val="00FF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92"/>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5857"/>
    <w:rPr>
      <w:color w:val="0000FF"/>
      <w:u w:val="single"/>
    </w:rPr>
  </w:style>
  <w:style w:type="character" w:styleId="CommentReference">
    <w:name w:val="annotation reference"/>
    <w:basedOn w:val="DefaultParagraphFont"/>
    <w:rsid w:val="000C49B6"/>
    <w:rPr>
      <w:sz w:val="16"/>
      <w:szCs w:val="16"/>
    </w:rPr>
  </w:style>
  <w:style w:type="paragraph" w:styleId="CommentText">
    <w:name w:val="annotation text"/>
    <w:basedOn w:val="Normal"/>
    <w:link w:val="CommentTextChar"/>
    <w:rsid w:val="000C49B6"/>
    <w:rPr>
      <w:sz w:val="20"/>
    </w:rPr>
  </w:style>
  <w:style w:type="character" w:customStyle="1" w:styleId="CommentTextChar">
    <w:name w:val="Comment Text Char"/>
    <w:basedOn w:val="DefaultParagraphFont"/>
    <w:link w:val="CommentText"/>
    <w:rsid w:val="000C49B6"/>
    <w:rPr>
      <w:rFonts w:ascii="CG Omega" w:hAnsi="CG Omega"/>
    </w:rPr>
  </w:style>
  <w:style w:type="paragraph" w:styleId="CommentSubject">
    <w:name w:val="annotation subject"/>
    <w:basedOn w:val="CommentText"/>
    <w:next w:val="CommentText"/>
    <w:link w:val="CommentSubjectChar"/>
    <w:rsid w:val="000C49B6"/>
    <w:rPr>
      <w:b/>
      <w:bCs/>
    </w:rPr>
  </w:style>
  <w:style w:type="character" w:customStyle="1" w:styleId="CommentSubjectChar">
    <w:name w:val="Comment Subject Char"/>
    <w:basedOn w:val="CommentTextChar"/>
    <w:link w:val="CommentSubject"/>
    <w:rsid w:val="000C49B6"/>
    <w:rPr>
      <w:rFonts w:ascii="CG Omega" w:hAnsi="CG Omega"/>
      <w:b/>
      <w:bCs/>
    </w:rPr>
  </w:style>
  <w:style w:type="paragraph" w:styleId="BalloonText">
    <w:name w:val="Balloon Text"/>
    <w:basedOn w:val="Normal"/>
    <w:link w:val="BalloonTextChar"/>
    <w:rsid w:val="000C49B6"/>
    <w:rPr>
      <w:rFonts w:ascii="Tahoma" w:hAnsi="Tahoma" w:cs="Tahoma"/>
      <w:sz w:val="16"/>
      <w:szCs w:val="16"/>
    </w:rPr>
  </w:style>
  <w:style w:type="character" w:customStyle="1" w:styleId="BalloonTextChar">
    <w:name w:val="Balloon Text Char"/>
    <w:basedOn w:val="DefaultParagraphFont"/>
    <w:link w:val="BalloonText"/>
    <w:rsid w:val="000C49B6"/>
    <w:rPr>
      <w:rFonts w:ascii="Tahoma" w:hAnsi="Tahoma" w:cs="Tahoma"/>
      <w:sz w:val="16"/>
      <w:szCs w:val="16"/>
    </w:rPr>
  </w:style>
  <w:style w:type="paragraph" w:styleId="Header">
    <w:name w:val="header"/>
    <w:basedOn w:val="Normal"/>
    <w:link w:val="HeaderChar"/>
    <w:rsid w:val="00653169"/>
    <w:pPr>
      <w:tabs>
        <w:tab w:val="center" w:pos="4680"/>
        <w:tab w:val="right" w:pos="9360"/>
      </w:tabs>
    </w:pPr>
  </w:style>
  <w:style w:type="character" w:customStyle="1" w:styleId="HeaderChar">
    <w:name w:val="Header Char"/>
    <w:basedOn w:val="DefaultParagraphFont"/>
    <w:link w:val="Header"/>
    <w:rsid w:val="00653169"/>
    <w:rPr>
      <w:rFonts w:ascii="CG Omega" w:hAnsi="CG Omega"/>
      <w:sz w:val="24"/>
    </w:rPr>
  </w:style>
  <w:style w:type="paragraph" w:styleId="Footer">
    <w:name w:val="footer"/>
    <w:basedOn w:val="Normal"/>
    <w:link w:val="FooterChar"/>
    <w:uiPriority w:val="99"/>
    <w:rsid w:val="00653169"/>
    <w:pPr>
      <w:tabs>
        <w:tab w:val="center" w:pos="4680"/>
        <w:tab w:val="right" w:pos="9360"/>
      </w:tabs>
    </w:pPr>
  </w:style>
  <w:style w:type="character" w:customStyle="1" w:styleId="FooterChar">
    <w:name w:val="Footer Char"/>
    <w:basedOn w:val="DefaultParagraphFont"/>
    <w:link w:val="Footer"/>
    <w:uiPriority w:val="99"/>
    <w:rsid w:val="00653169"/>
    <w:rPr>
      <w:rFonts w:ascii="CG Omega" w:hAnsi="CG Omega"/>
      <w:sz w:val="24"/>
    </w:rPr>
  </w:style>
  <w:style w:type="paragraph" w:customStyle="1" w:styleId="DocID">
    <w:name w:val="DocID"/>
    <w:basedOn w:val="Footer"/>
    <w:next w:val="Footer"/>
    <w:link w:val="DocIDChar"/>
    <w:rsid w:val="00726560"/>
    <w:pPr>
      <w:tabs>
        <w:tab w:val="clear" w:pos="4680"/>
        <w:tab w:val="clear" w:pos="9360"/>
      </w:tabs>
    </w:pPr>
    <w:rPr>
      <w:rFonts w:ascii="Times New Roman" w:hAnsi="Times New Roman"/>
      <w:sz w:val="16"/>
    </w:rPr>
  </w:style>
  <w:style w:type="character" w:customStyle="1" w:styleId="DocIDChar">
    <w:name w:val="DocID Char"/>
    <w:basedOn w:val="DefaultParagraphFont"/>
    <w:link w:val="DocID"/>
    <w:rsid w:val="00726560"/>
    <w:rPr>
      <w:sz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92"/>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5857"/>
    <w:rPr>
      <w:color w:val="0000FF"/>
      <w:u w:val="single"/>
    </w:rPr>
  </w:style>
  <w:style w:type="character" w:styleId="CommentReference">
    <w:name w:val="annotation reference"/>
    <w:basedOn w:val="DefaultParagraphFont"/>
    <w:rsid w:val="000C49B6"/>
    <w:rPr>
      <w:sz w:val="16"/>
      <w:szCs w:val="16"/>
    </w:rPr>
  </w:style>
  <w:style w:type="paragraph" w:styleId="CommentText">
    <w:name w:val="annotation text"/>
    <w:basedOn w:val="Normal"/>
    <w:link w:val="CommentTextChar"/>
    <w:rsid w:val="000C49B6"/>
    <w:rPr>
      <w:sz w:val="20"/>
    </w:rPr>
  </w:style>
  <w:style w:type="character" w:customStyle="1" w:styleId="CommentTextChar">
    <w:name w:val="Comment Text Char"/>
    <w:basedOn w:val="DefaultParagraphFont"/>
    <w:link w:val="CommentText"/>
    <w:rsid w:val="000C49B6"/>
    <w:rPr>
      <w:rFonts w:ascii="CG Omega" w:hAnsi="CG Omega"/>
    </w:rPr>
  </w:style>
  <w:style w:type="paragraph" w:styleId="CommentSubject">
    <w:name w:val="annotation subject"/>
    <w:basedOn w:val="CommentText"/>
    <w:next w:val="CommentText"/>
    <w:link w:val="CommentSubjectChar"/>
    <w:rsid w:val="000C49B6"/>
    <w:rPr>
      <w:b/>
      <w:bCs/>
    </w:rPr>
  </w:style>
  <w:style w:type="character" w:customStyle="1" w:styleId="CommentSubjectChar">
    <w:name w:val="Comment Subject Char"/>
    <w:basedOn w:val="CommentTextChar"/>
    <w:link w:val="CommentSubject"/>
    <w:rsid w:val="000C49B6"/>
    <w:rPr>
      <w:rFonts w:ascii="CG Omega" w:hAnsi="CG Omega"/>
      <w:b/>
      <w:bCs/>
    </w:rPr>
  </w:style>
  <w:style w:type="paragraph" w:styleId="BalloonText">
    <w:name w:val="Balloon Text"/>
    <w:basedOn w:val="Normal"/>
    <w:link w:val="BalloonTextChar"/>
    <w:rsid w:val="000C49B6"/>
    <w:rPr>
      <w:rFonts w:ascii="Tahoma" w:hAnsi="Tahoma" w:cs="Tahoma"/>
      <w:sz w:val="16"/>
      <w:szCs w:val="16"/>
    </w:rPr>
  </w:style>
  <w:style w:type="character" w:customStyle="1" w:styleId="BalloonTextChar">
    <w:name w:val="Balloon Text Char"/>
    <w:basedOn w:val="DefaultParagraphFont"/>
    <w:link w:val="BalloonText"/>
    <w:rsid w:val="000C49B6"/>
    <w:rPr>
      <w:rFonts w:ascii="Tahoma" w:hAnsi="Tahoma" w:cs="Tahoma"/>
      <w:sz w:val="16"/>
      <w:szCs w:val="16"/>
    </w:rPr>
  </w:style>
  <w:style w:type="paragraph" w:styleId="Header">
    <w:name w:val="header"/>
    <w:basedOn w:val="Normal"/>
    <w:link w:val="HeaderChar"/>
    <w:rsid w:val="00653169"/>
    <w:pPr>
      <w:tabs>
        <w:tab w:val="center" w:pos="4680"/>
        <w:tab w:val="right" w:pos="9360"/>
      </w:tabs>
    </w:pPr>
  </w:style>
  <w:style w:type="character" w:customStyle="1" w:styleId="HeaderChar">
    <w:name w:val="Header Char"/>
    <w:basedOn w:val="DefaultParagraphFont"/>
    <w:link w:val="Header"/>
    <w:rsid w:val="00653169"/>
    <w:rPr>
      <w:rFonts w:ascii="CG Omega" w:hAnsi="CG Omega"/>
      <w:sz w:val="24"/>
    </w:rPr>
  </w:style>
  <w:style w:type="paragraph" w:styleId="Footer">
    <w:name w:val="footer"/>
    <w:basedOn w:val="Normal"/>
    <w:link w:val="FooterChar"/>
    <w:uiPriority w:val="99"/>
    <w:rsid w:val="00653169"/>
    <w:pPr>
      <w:tabs>
        <w:tab w:val="center" w:pos="4680"/>
        <w:tab w:val="right" w:pos="9360"/>
      </w:tabs>
    </w:pPr>
  </w:style>
  <w:style w:type="character" w:customStyle="1" w:styleId="FooterChar">
    <w:name w:val="Footer Char"/>
    <w:basedOn w:val="DefaultParagraphFont"/>
    <w:link w:val="Footer"/>
    <w:uiPriority w:val="99"/>
    <w:rsid w:val="00653169"/>
    <w:rPr>
      <w:rFonts w:ascii="CG Omega" w:hAnsi="CG Omega"/>
      <w:sz w:val="24"/>
    </w:rPr>
  </w:style>
  <w:style w:type="paragraph" w:customStyle="1" w:styleId="DocID">
    <w:name w:val="DocID"/>
    <w:basedOn w:val="Footer"/>
    <w:next w:val="Footer"/>
    <w:link w:val="DocIDChar"/>
    <w:rsid w:val="00726560"/>
    <w:pPr>
      <w:tabs>
        <w:tab w:val="clear" w:pos="4680"/>
        <w:tab w:val="clear" w:pos="9360"/>
      </w:tabs>
    </w:pPr>
    <w:rPr>
      <w:rFonts w:ascii="Times New Roman" w:hAnsi="Times New Roman"/>
      <w:sz w:val="16"/>
    </w:rPr>
  </w:style>
  <w:style w:type="character" w:customStyle="1" w:styleId="DocIDChar">
    <w:name w:val="DocID Char"/>
    <w:basedOn w:val="DefaultParagraphFont"/>
    <w:link w:val="DocID"/>
    <w:rsid w:val="00726560"/>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Firm%20Templates\FLFV%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37C4E-4C2D-405E-8BD4-A6B1FD8D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FLFV Memo</Template>
  <TotalTime>4</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Felhaber Law Firm</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H. Hargreaves</dc:creator>
  <cp:lastModifiedBy>Penelope (Penny) Phillips</cp:lastModifiedBy>
  <cp:revision>4</cp:revision>
  <cp:lastPrinted>2011-05-25T05:59:00Z</cp:lastPrinted>
  <dcterms:created xsi:type="dcterms:W3CDTF">2020-06-23T15:08:00Z</dcterms:created>
  <dcterms:modified xsi:type="dcterms:W3CDTF">2020-06-23T15:11:00Z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3315884.v1</vt:lpwstr>
  </property>
  <property fmtid="{D5CDD505-2E9C-101B-9397-08002B2CF9AE}" pid="3" name="CUS_DocIDChunk0">
    <vt:lpwstr>3315884.v1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