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3EB1" w14:textId="77777777" w:rsidR="00D25C9A" w:rsidRDefault="00D25C9A" w:rsidP="0058210A">
      <w:bookmarkStart w:id="0" w:name="_GoBack"/>
      <w:bookmarkEnd w:id="0"/>
    </w:p>
    <w:p w14:paraId="76C4FE90" w14:textId="77777777" w:rsidR="00D80923" w:rsidRDefault="00D80923" w:rsidP="0058210A"/>
    <w:p w14:paraId="7E66DAA9" w14:textId="77777777" w:rsidR="00A01FA6" w:rsidRDefault="00A01FA6" w:rsidP="0058210A"/>
    <w:p w14:paraId="4ADF8B71" w14:textId="32BAAFAA" w:rsidR="00D80923" w:rsidRDefault="00CC0B70" w:rsidP="0058210A">
      <w:r>
        <w:tab/>
      </w:r>
      <w:r>
        <w:tab/>
      </w:r>
      <w:r>
        <w:tab/>
      </w:r>
      <w:r>
        <w:tab/>
      </w:r>
      <w:r>
        <w:tab/>
      </w:r>
      <w:r>
        <w:tab/>
      </w:r>
      <w:r>
        <w:tab/>
      </w:r>
      <w:r>
        <w:tab/>
      </w:r>
      <w:r w:rsidR="003E5CE9">
        <w:t>May</w:t>
      </w:r>
      <w:r w:rsidR="002C362E">
        <w:t xml:space="preserve"> </w:t>
      </w:r>
      <w:r w:rsidR="00077FAF">
        <w:t>9</w:t>
      </w:r>
      <w:r w:rsidR="002C362E">
        <w:t>, 2019</w:t>
      </w:r>
    </w:p>
    <w:p w14:paraId="7CF5463D" w14:textId="77777777" w:rsidR="00A01FA6" w:rsidRDefault="00A01FA6" w:rsidP="0058210A"/>
    <w:p w14:paraId="68948A58" w14:textId="77777777" w:rsidR="00D80923" w:rsidRPr="00851378" w:rsidRDefault="00846867" w:rsidP="0058210A">
      <w:pPr>
        <w:rPr>
          <w:sz w:val="24"/>
          <w:szCs w:val="24"/>
          <w:u w:val="single"/>
        </w:rPr>
      </w:pPr>
      <w:r w:rsidRPr="00851378">
        <w:rPr>
          <w:sz w:val="24"/>
          <w:szCs w:val="24"/>
          <w:u w:val="single"/>
        </w:rPr>
        <w:t>SUBMITTED ELECTRONICALLY</w:t>
      </w:r>
    </w:p>
    <w:p w14:paraId="258C394C" w14:textId="77777777" w:rsidR="00CC0B70" w:rsidRPr="00851378" w:rsidRDefault="002C362E" w:rsidP="00CC0B70">
      <w:pPr>
        <w:spacing w:after="0"/>
        <w:rPr>
          <w:sz w:val="24"/>
          <w:szCs w:val="24"/>
        </w:rPr>
      </w:pPr>
      <w:r>
        <w:rPr>
          <w:sz w:val="24"/>
          <w:szCs w:val="24"/>
        </w:rPr>
        <w:t>Mr. Robert Waterman</w:t>
      </w:r>
    </w:p>
    <w:p w14:paraId="0F7EDE98" w14:textId="77777777" w:rsidR="00846867" w:rsidRPr="00851378" w:rsidRDefault="00846867" w:rsidP="00CC0B70">
      <w:pPr>
        <w:spacing w:after="0"/>
        <w:rPr>
          <w:sz w:val="24"/>
          <w:szCs w:val="24"/>
        </w:rPr>
      </w:pPr>
      <w:r w:rsidRPr="00851378">
        <w:rPr>
          <w:sz w:val="24"/>
          <w:szCs w:val="24"/>
        </w:rPr>
        <w:t>Division of Regulations, Legislation, and Interpretation</w:t>
      </w:r>
    </w:p>
    <w:p w14:paraId="112E39B9" w14:textId="77777777" w:rsidR="00846867" w:rsidRPr="00851378" w:rsidRDefault="00846867" w:rsidP="00CC0B70">
      <w:pPr>
        <w:spacing w:after="0"/>
        <w:rPr>
          <w:sz w:val="24"/>
          <w:szCs w:val="24"/>
        </w:rPr>
      </w:pPr>
      <w:r w:rsidRPr="00851378">
        <w:rPr>
          <w:sz w:val="24"/>
          <w:szCs w:val="24"/>
        </w:rPr>
        <w:t>Wage and Hour Division</w:t>
      </w:r>
    </w:p>
    <w:p w14:paraId="35693324" w14:textId="77777777" w:rsidR="00846867" w:rsidRPr="00851378" w:rsidRDefault="00846867" w:rsidP="00CC0B70">
      <w:pPr>
        <w:spacing w:after="0"/>
        <w:rPr>
          <w:sz w:val="24"/>
          <w:szCs w:val="24"/>
        </w:rPr>
      </w:pPr>
      <w:r w:rsidRPr="00851378">
        <w:rPr>
          <w:sz w:val="24"/>
          <w:szCs w:val="24"/>
        </w:rPr>
        <w:t>U.S. Department of Labor</w:t>
      </w:r>
    </w:p>
    <w:p w14:paraId="1FDBCA1E" w14:textId="77777777" w:rsidR="00846867" w:rsidRPr="00851378" w:rsidRDefault="00846867" w:rsidP="00CC0B70">
      <w:pPr>
        <w:spacing w:after="0"/>
        <w:rPr>
          <w:sz w:val="24"/>
          <w:szCs w:val="24"/>
        </w:rPr>
      </w:pPr>
      <w:r w:rsidRPr="00851378">
        <w:rPr>
          <w:sz w:val="24"/>
          <w:szCs w:val="24"/>
        </w:rPr>
        <w:t>Room S-3502</w:t>
      </w:r>
    </w:p>
    <w:p w14:paraId="4DE592CD" w14:textId="77777777" w:rsidR="00846867" w:rsidRPr="00851378" w:rsidRDefault="00846867" w:rsidP="00CC0B70">
      <w:pPr>
        <w:spacing w:after="0"/>
        <w:rPr>
          <w:sz w:val="24"/>
          <w:szCs w:val="24"/>
        </w:rPr>
      </w:pPr>
      <w:r w:rsidRPr="00851378">
        <w:rPr>
          <w:sz w:val="24"/>
          <w:szCs w:val="24"/>
        </w:rPr>
        <w:t>200 Constitution Avenue NW</w:t>
      </w:r>
    </w:p>
    <w:p w14:paraId="7B3D9B42" w14:textId="77777777" w:rsidR="00846867" w:rsidRPr="00851378" w:rsidRDefault="00846867" w:rsidP="00CC0B70">
      <w:pPr>
        <w:spacing w:after="0"/>
        <w:rPr>
          <w:sz w:val="24"/>
          <w:szCs w:val="24"/>
        </w:rPr>
      </w:pPr>
      <w:r w:rsidRPr="00851378">
        <w:rPr>
          <w:sz w:val="24"/>
          <w:szCs w:val="24"/>
        </w:rPr>
        <w:t>Washington, DC  20210</w:t>
      </w:r>
    </w:p>
    <w:p w14:paraId="057A3C8C" w14:textId="77777777" w:rsidR="00CC0B70" w:rsidRPr="00851378" w:rsidRDefault="00CC0B70" w:rsidP="00CC0B70">
      <w:pPr>
        <w:spacing w:after="0"/>
        <w:rPr>
          <w:sz w:val="24"/>
          <w:szCs w:val="24"/>
        </w:rPr>
      </w:pPr>
    </w:p>
    <w:p w14:paraId="3D718D38" w14:textId="77777777" w:rsidR="00CC0B70" w:rsidRPr="00851378" w:rsidRDefault="00CC0B70" w:rsidP="00CC0B70">
      <w:pPr>
        <w:spacing w:after="0"/>
        <w:rPr>
          <w:b/>
          <w:sz w:val="24"/>
          <w:szCs w:val="24"/>
        </w:rPr>
      </w:pPr>
      <w:r w:rsidRPr="00851378">
        <w:rPr>
          <w:sz w:val="24"/>
          <w:szCs w:val="24"/>
        </w:rPr>
        <w:tab/>
        <w:t>Re:</w:t>
      </w:r>
      <w:r w:rsidRPr="00851378">
        <w:rPr>
          <w:sz w:val="24"/>
          <w:szCs w:val="24"/>
        </w:rPr>
        <w:tab/>
      </w:r>
      <w:r w:rsidR="00846867" w:rsidRPr="00851378">
        <w:rPr>
          <w:b/>
          <w:sz w:val="24"/>
          <w:szCs w:val="24"/>
        </w:rPr>
        <w:t>Wage and Hour Division, Dep</w:t>
      </w:r>
      <w:r w:rsidR="002C362E">
        <w:rPr>
          <w:b/>
          <w:sz w:val="24"/>
          <w:szCs w:val="24"/>
        </w:rPr>
        <w:t>artment of Labor – RIN 1235-AA20</w:t>
      </w:r>
    </w:p>
    <w:p w14:paraId="48436653" w14:textId="77777777" w:rsidR="00851378" w:rsidRPr="00851378" w:rsidRDefault="00851378" w:rsidP="00851378">
      <w:pPr>
        <w:spacing w:after="0"/>
        <w:ind w:left="1440"/>
        <w:rPr>
          <w:sz w:val="24"/>
          <w:szCs w:val="24"/>
        </w:rPr>
      </w:pPr>
      <w:r w:rsidRPr="00851378">
        <w:rPr>
          <w:b/>
          <w:sz w:val="24"/>
          <w:szCs w:val="24"/>
        </w:rPr>
        <w:t>Proposed Rule – Defining and Delimiting the Exemptions for Executive, Administrative, Professional, Outside Sales and Computer Employees</w:t>
      </w:r>
    </w:p>
    <w:p w14:paraId="5CB954D8" w14:textId="77777777" w:rsidR="00CC0B70" w:rsidRPr="00851378" w:rsidRDefault="00CC0B70" w:rsidP="00CC0B70">
      <w:pPr>
        <w:spacing w:after="0"/>
        <w:rPr>
          <w:sz w:val="24"/>
          <w:szCs w:val="24"/>
        </w:rPr>
      </w:pPr>
    </w:p>
    <w:p w14:paraId="4CF8C260" w14:textId="77777777" w:rsidR="00CC0B70" w:rsidRPr="00851378" w:rsidRDefault="00CC0B70" w:rsidP="00CC0B70">
      <w:pPr>
        <w:spacing w:after="0"/>
        <w:rPr>
          <w:sz w:val="24"/>
          <w:szCs w:val="24"/>
        </w:rPr>
      </w:pPr>
      <w:r w:rsidRPr="00851378">
        <w:rPr>
          <w:sz w:val="24"/>
          <w:szCs w:val="24"/>
        </w:rPr>
        <w:t xml:space="preserve">Dear </w:t>
      </w:r>
      <w:r w:rsidR="002C362E">
        <w:rPr>
          <w:sz w:val="24"/>
          <w:szCs w:val="24"/>
        </w:rPr>
        <w:t>Mr. Waterman</w:t>
      </w:r>
      <w:r w:rsidRPr="00851378">
        <w:rPr>
          <w:sz w:val="24"/>
          <w:szCs w:val="24"/>
        </w:rPr>
        <w:t>:</w:t>
      </w:r>
    </w:p>
    <w:p w14:paraId="7E45C9E4" w14:textId="77777777" w:rsidR="00CC0B70" w:rsidRPr="00851378" w:rsidRDefault="00CC0B70" w:rsidP="00CC0B70">
      <w:pPr>
        <w:spacing w:after="0"/>
        <w:rPr>
          <w:sz w:val="24"/>
          <w:szCs w:val="24"/>
        </w:rPr>
      </w:pPr>
    </w:p>
    <w:p w14:paraId="565F3B0B" w14:textId="77777777" w:rsidR="00851378" w:rsidRPr="00851378" w:rsidRDefault="00AA7CAD" w:rsidP="00685BCD">
      <w:pPr>
        <w:autoSpaceDE w:val="0"/>
        <w:autoSpaceDN w:val="0"/>
        <w:adjustRightInd w:val="0"/>
        <w:spacing w:after="0"/>
        <w:jc w:val="both"/>
        <w:rPr>
          <w:rFonts w:ascii="Calibri" w:hAnsi="Calibri"/>
          <w:sz w:val="24"/>
          <w:szCs w:val="24"/>
        </w:rPr>
      </w:pPr>
      <w:hyperlink r:id="rId8" w:history="1">
        <w:r w:rsidR="00851378" w:rsidRPr="00851378">
          <w:rPr>
            <w:rStyle w:val="Hyperlink"/>
            <w:rFonts w:ascii="Calibri" w:hAnsi="Calibri"/>
            <w:bCs/>
            <w:sz w:val="24"/>
            <w:szCs w:val="24"/>
          </w:rPr>
          <w:t>LeadingAge</w:t>
        </w:r>
      </w:hyperlink>
      <w:r w:rsidR="00685BCD">
        <w:rPr>
          <w:rFonts w:ascii="Calibri" w:hAnsi="Calibri"/>
          <w:bCs/>
          <w:sz w:val="24"/>
          <w:szCs w:val="24"/>
        </w:rPr>
        <w:t xml:space="preserve"> </w:t>
      </w:r>
      <w:r w:rsidR="00851378" w:rsidRPr="00851378">
        <w:rPr>
          <w:rFonts w:ascii="Calibri" w:hAnsi="Calibri"/>
          <w:bCs/>
          <w:sz w:val="24"/>
          <w:szCs w:val="24"/>
        </w:rPr>
        <w:t xml:space="preserve">appreciates the opportunity to comment on the Proposed Rule, </w:t>
      </w:r>
      <w:r w:rsidR="00851378" w:rsidRPr="00851378">
        <w:rPr>
          <w:b/>
          <w:sz w:val="24"/>
          <w:szCs w:val="24"/>
        </w:rPr>
        <w:t>Defining and Delimiting the Exemptions for Executive, Administrative, Professional, Outside Sales and Computer Employees</w:t>
      </w:r>
      <w:r w:rsidR="00851378">
        <w:rPr>
          <w:sz w:val="24"/>
          <w:szCs w:val="24"/>
        </w:rPr>
        <w:t xml:space="preserve"> (the “Proposed Rule”).</w:t>
      </w:r>
    </w:p>
    <w:p w14:paraId="1E6901B8" w14:textId="77777777" w:rsidR="00851378" w:rsidRPr="002C362E" w:rsidRDefault="00851378" w:rsidP="00685BCD">
      <w:pPr>
        <w:autoSpaceDE w:val="0"/>
        <w:autoSpaceDN w:val="0"/>
        <w:adjustRightInd w:val="0"/>
        <w:spacing w:after="0"/>
        <w:jc w:val="both"/>
        <w:rPr>
          <w:b/>
          <w:sz w:val="24"/>
          <w:szCs w:val="24"/>
        </w:rPr>
      </w:pPr>
    </w:p>
    <w:p w14:paraId="3D73B8D3" w14:textId="77777777" w:rsidR="002C362E" w:rsidRPr="002C362E" w:rsidRDefault="002C362E" w:rsidP="002C362E">
      <w:pPr>
        <w:spacing w:after="0"/>
        <w:rPr>
          <w:rFonts w:cs="Arial"/>
          <w:sz w:val="24"/>
          <w:szCs w:val="24"/>
        </w:rPr>
      </w:pPr>
      <w:r w:rsidRPr="002C362E">
        <w:rPr>
          <w:rFonts w:cs="Arial"/>
          <w:sz w:val="24"/>
          <w:szCs w:val="24"/>
        </w:rPr>
        <w:t>The mission of LeadingAge is to be the trusted voice for aging. Our over 6,000 members and partners include nonprofit organizations representing the entire field of aging services, 38 state associations, hundreds of businesses, consumer groups, foundations and research centers. LeadingAge is also a part of the Global Ageing Network, whose membership spans 30 countries. LeadingAge is a 501(c)(3) tax-exempt charitable organization focused on education, advocacy and applied research.</w:t>
      </w:r>
    </w:p>
    <w:p w14:paraId="1B864D59" w14:textId="77777777" w:rsidR="00851378" w:rsidRPr="00851378" w:rsidRDefault="00851378" w:rsidP="00685BCD">
      <w:pPr>
        <w:spacing w:after="0"/>
        <w:jc w:val="both"/>
        <w:rPr>
          <w:rFonts w:ascii="Calibri" w:hAnsi="Calibri"/>
          <w:bCs/>
          <w:sz w:val="24"/>
          <w:szCs w:val="24"/>
        </w:rPr>
      </w:pPr>
    </w:p>
    <w:p w14:paraId="0A5208E1" w14:textId="77777777" w:rsidR="00851378" w:rsidRPr="00851378" w:rsidRDefault="00851378" w:rsidP="00685BCD">
      <w:pPr>
        <w:pStyle w:val="LargerBodyType"/>
        <w:rPr>
          <w:rFonts w:ascii="Calibri" w:hAnsi="Calibri" w:cs="Times New Roman"/>
          <w:color w:val="auto"/>
          <w:sz w:val="24"/>
          <w:szCs w:val="24"/>
        </w:rPr>
      </w:pPr>
      <w:r w:rsidRPr="00851378">
        <w:rPr>
          <w:rFonts w:ascii="Calibri" w:hAnsi="Calibri" w:cs="Times New Roman"/>
          <w:color w:val="auto"/>
          <w:sz w:val="24"/>
          <w:szCs w:val="24"/>
        </w:rPr>
        <w:t xml:space="preserve">Dedicated to expanding the world of possibilities for aging, </w:t>
      </w:r>
      <w:r w:rsidR="00685BCD">
        <w:rPr>
          <w:rFonts w:ascii="Calibri" w:hAnsi="Calibri" w:cs="Times New Roman"/>
          <w:color w:val="auto"/>
          <w:sz w:val="24"/>
          <w:szCs w:val="24"/>
        </w:rPr>
        <w:t xml:space="preserve">LeadingAge </w:t>
      </w:r>
      <w:r w:rsidRPr="00851378">
        <w:rPr>
          <w:rFonts w:ascii="Calibri" w:hAnsi="Calibri" w:cs="Times New Roman"/>
          <w:color w:val="auto"/>
          <w:sz w:val="24"/>
          <w:szCs w:val="24"/>
        </w:rPr>
        <w:t>advance</w:t>
      </w:r>
      <w:r w:rsidR="00685BCD">
        <w:rPr>
          <w:rFonts w:ascii="Calibri" w:hAnsi="Calibri" w:cs="Times New Roman"/>
          <w:color w:val="auto"/>
          <w:sz w:val="24"/>
          <w:szCs w:val="24"/>
        </w:rPr>
        <w:t>s</w:t>
      </w:r>
      <w:r w:rsidRPr="00851378">
        <w:rPr>
          <w:rFonts w:ascii="Calibri" w:hAnsi="Calibri" w:cs="Times New Roman"/>
          <w:color w:val="auto"/>
          <w:sz w:val="24"/>
          <w:szCs w:val="24"/>
        </w:rPr>
        <w:t xml:space="preserve"> policies, promote</w:t>
      </w:r>
      <w:r w:rsidR="00685BCD">
        <w:rPr>
          <w:rFonts w:ascii="Calibri" w:hAnsi="Calibri" w:cs="Times New Roman"/>
          <w:color w:val="auto"/>
          <w:sz w:val="24"/>
          <w:szCs w:val="24"/>
        </w:rPr>
        <w:t>s</w:t>
      </w:r>
      <w:r w:rsidRPr="00851378">
        <w:rPr>
          <w:rFonts w:ascii="Calibri" w:hAnsi="Calibri" w:cs="Times New Roman"/>
          <w:color w:val="auto"/>
          <w:sz w:val="24"/>
          <w:szCs w:val="24"/>
        </w:rPr>
        <w:t xml:space="preserve"> practices and conduct</w:t>
      </w:r>
      <w:r w:rsidR="00685BCD">
        <w:rPr>
          <w:rFonts w:ascii="Calibri" w:hAnsi="Calibri" w:cs="Times New Roman"/>
          <w:color w:val="auto"/>
          <w:sz w:val="24"/>
          <w:szCs w:val="24"/>
        </w:rPr>
        <w:t>s</w:t>
      </w:r>
      <w:r w:rsidRPr="00851378">
        <w:rPr>
          <w:rFonts w:ascii="Calibri" w:hAnsi="Calibri" w:cs="Times New Roman"/>
          <w:color w:val="auto"/>
          <w:sz w:val="24"/>
          <w:szCs w:val="24"/>
        </w:rPr>
        <w:t xml:space="preserve"> research that supports, enables and empowers people to live fully as they age. </w:t>
      </w:r>
    </w:p>
    <w:p w14:paraId="082B6666" w14:textId="77777777" w:rsidR="00BF0AFE" w:rsidRDefault="00BF0AFE" w:rsidP="00685BCD">
      <w:pPr>
        <w:spacing w:after="0"/>
        <w:rPr>
          <w:sz w:val="24"/>
          <w:szCs w:val="24"/>
        </w:rPr>
      </w:pPr>
    </w:p>
    <w:p w14:paraId="4A6221CB" w14:textId="31B73B78" w:rsidR="003E5CE9" w:rsidRDefault="00E17DBE" w:rsidP="00685BCD">
      <w:pPr>
        <w:spacing w:after="0"/>
        <w:rPr>
          <w:sz w:val="24"/>
          <w:szCs w:val="24"/>
        </w:rPr>
      </w:pPr>
      <w:r>
        <w:rPr>
          <w:sz w:val="24"/>
          <w:szCs w:val="24"/>
        </w:rPr>
        <w:lastRenderedPageBreak/>
        <w:t>LeadingAge agrees with the Department of Labor, Wage and Hour Division (</w:t>
      </w:r>
      <w:r w:rsidR="00D60CBE">
        <w:rPr>
          <w:sz w:val="24"/>
          <w:szCs w:val="24"/>
        </w:rPr>
        <w:t>the</w:t>
      </w:r>
      <w:r>
        <w:rPr>
          <w:sz w:val="24"/>
          <w:szCs w:val="24"/>
        </w:rPr>
        <w:t xml:space="preserve"> “Department”) that the salary test for the </w:t>
      </w:r>
      <w:r w:rsidR="00FA3CA3">
        <w:rPr>
          <w:sz w:val="24"/>
          <w:szCs w:val="24"/>
        </w:rPr>
        <w:t>execut</w:t>
      </w:r>
      <w:r w:rsidR="002E0851">
        <w:rPr>
          <w:sz w:val="24"/>
          <w:szCs w:val="24"/>
        </w:rPr>
        <w:t>ive, administrative, professiona</w:t>
      </w:r>
      <w:r w:rsidR="00FA3CA3">
        <w:rPr>
          <w:sz w:val="24"/>
          <w:szCs w:val="24"/>
        </w:rPr>
        <w:t>l, outside sales</w:t>
      </w:r>
      <w:r w:rsidR="002E0851">
        <w:rPr>
          <w:sz w:val="24"/>
          <w:szCs w:val="24"/>
        </w:rPr>
        <w:t>,</w:t>
      </w:r>
      <w:r w:rsidR="00FA3CA3">
        <w:rPr>
          <w:sz w:val="24"/>
          <w:szCs w:val="24"/>
        </w:rPr>
        <w:t xml:space="preserve"> and computer employee exemption (the “</w:t>
      </w:r>
      <w:r>
        <w:rPr>
          <w:sz w:val="24"/>
          <w:szCs w:val="24"/>
        </w:rPr>
        <w:t>EAP exemption</w:t>
      </w:r>
      <w:r w:rsidR="00FA3CA3">
        <w:rPr>
          <w:sz w:val="24"/>
          <w:szCs w:val="24"/>
        </w:rPr>
        <w:t>”)</w:t>
      </w:r>
      <w:r>
        <w:rPr>
          <w:sz w:val="24"/>
          <w:szCs w:val="24"/>
        </w:rPr>
        <w:t xml:space="preserve"> is outdated and </w:t>
      </w:r>
      <w:r w:rsidR="003C7CC0">
        <w:rPr>
          <w:sz w:val="24"/>
          <w:szCs w:val="24"/>
        </w:rPr>
        <w:t>should be updated</w:t>
      </w:r>
      <w:r w:rsidR="000F721C">
        <w:rPr>
          <w:sz w:val="24"/>
          <w:szCs w:val="24"/>
        </w:rPr>
        <w:t xml:space="preserve">.  </w:t>
      </w:r>
      <w:r w:rsidR="00E2458B">
        <w:rPr>
          <w:sz w:val="24"/>
          <w:szCs w:val="24"/>
        </w:rPr>
        <w:t>We also agree that adequate compensation is critical for our members’ workforce</w:t>
      </w:r>
      <w:r w:rsidR="00FA3CA3">
        <w:rPr>
          <w:sz w:val="24"/>
          <w:szCs w:val="24"/>
        </w:rPr>
        <w:t>—a workforce</w:t>
      </w:r>
      <w:r w:rsidR="00E2458B">
        <w:rPr>
          <w:sz w:val="24"/>
          <w:szCs w:val="24"/>
        </w:rPr>
        <w:t xml:space="preserve"> that is called to serve the frailest among us. </w:t>
      </w:r>
    </w:p>
    <w:p w14:paraId="5D713273" w14:textId="77777777" w:rsidR="003E5CE9" w:rsidRDefault="003E5CE9" w:rsidP="00685BCD">
      <w:pPr>
        <w:spacing w:after="0"/>
        <w:rPr>
          <w:sz w:val="24"/>
          <w:szCs w:val="24"/>
        </w:rPr>
      </w:pPr>
    </w:p>
    <w:p w14:paraId="60F2F624" w14:textId="5E04C7E5" w:rsidR="00A47FC2" w:rsidRPr="00A47FC2" w:rsidRDefault="00A47FC2" w:rsidP="00685BCD">
      <w:pPr>
        <w:spacing w:after="0"/>
        <w:rPr>
          <w:b/>
          <w:sz w:val="24"/>
          <w:szCs w:val="24"/>
          <w:u w:val="single"/>
        </w:rPr>
      </w:pPr>
      <w:r w:rsidRPr="00A47FC2">
        <w:rPr>
          <w:b/>
          <w:sz w:val="24"/>
          <w:szCs w:val="24"/>
          <w:u w:val="single"/>
        </w:rPr>
        <w:t xml:space="preserve">The proposed salary test </w:t>
      </w:r>
      <w:r>
        <w:rPr>
          <w:b/>
          <w:sz w:val="24"/>
          <w:szCs w:val="24"/>
          <w:u w:val="single"/>
        </w:rPr>
        <w:t xml:space="preserve">threshold </w:t>
      </w:r>
      <w:r w:rsidRPr="00A47FC2">
        <w:rPr>
          <w:b/>
          <w:sz w:val="24"/>
          <w:szCs w:val="24"/>
          <w:u w:val="single"/>
        </w:rPr>
        <w:t>is reasonable.</w:t>
      </w:r>
    </w:p>
    <w:p w14:paraId="3B0A378A" w14:textId="77777777" w:rsidR="00A47FC2" w:rsidRDefault="00A47FC2" w:rsidP="00685BCD">
      <w:pPr>
        <w:spacing w:after="0"/>
        <w:rPr>
          <w:sz w:val="24"/>
          <w:szCs w:val="24"/>
        </w:rPr>
      </w:pPr>
    </w:p>
    <w:p w14:paraId="5AA94708" w14:textId="47B5DC7B" w:rsidR="003E5CE9" w:rsidRDefault="003E5CE9" w:rsidP="00685BCD">
      <w:pPr>
        <w:spacing w:after="0"/>
        <w:rPr>
          <w:sz w:val="24"/>
          <w:szCs w:val="24"/>
        </w:rPr>
      </w:pPr>
      <w:r>
        <w:rPr>
          <w:sz w:val="24"/>
          <w:szCs w:val="24"/>
        </w:rPr>
        <w:t xml:space="preserve">In our previous comments filed </w:t>
      </w:r>
      <w:r w:rsidR="00B978B8">
        <w:rPr>
          <w:sz w:val="24"/>
          <w:szCs w:val="24"/>
        </w:rPr>
        <w:t>in 2015 and 2017 relative to this issue</w:t>
      </w:r>
      <w:r>
        <w:rPr>
          <w:sz w:val="24"/>
          <w:szCs w:val="24"/>
        </w:rPr>
        <w:t xml:space="preserve">, we urged the Department to scale back the </w:t>
      </w:r>
      <w:r w:rsidR="00A47FC2">
        <w:rPr>
          <w:sz w:val="24"/>
          <w:szCs w:val="24"/>
        </w:rPr>
        <w:t xml:space="preserve">proposed </w:t>
      </w:r>
      <w:r>
        <w:rPr>
          <w:sz w:val="24"/>
          <w:szCs w:val="24"/>
        </w:rPr>
        <w:t xml:space="preserve">increase in the salary test </w:t>
      </w:r>
      <w:r w:rsidR="00A47FC2">
        <w:rPr>
          <w:sz w:val="24"/>
          <w:szCs w:val="24"/>
        </w:rPr>
        <w:t xml:space="preserve">from about $47,000 annually to around $35,000. </w:t>
      </w:r>
      <w:r w:rsidR="0068478E">
        <w:rPr>
          <w:sz w:val="24"/>
          <w:szCs w:val="24"/>
        </w:rPr>
        <w:t xml:space="preserve">The salary </w:t>
      </w:r>
      <w:r>
        <w:rPr>
          <w:sz w:val="24"/>
          <w:szCs w:val="24"/>
        </w:rPr>
        <w:t xml:space="preserve">threshold </w:t>
      </w:r>
      <w:r w:rsidR="0068478E">
        <w:rPr>
          <w:sz w:val="24"/>
          <w:szCs w:val="24"/>
        </w:rPr>
        <w:t>proposed in the current iteration of the rule of $</w:t>
      </w:r>
      <w:r w:rsidR="00B978B8">
        <w:rPr>
          <w:sz w:val="24"/>
          <w:szCs w:val="24"/>
        </w:rPr>
        <w:t>679 per week ($35,308 annually)</w:t>
      </w:r>
      <w:r w:rsidR="00A47FC2">
        <w:rPr>
          <w:sz w:val="24"/>
          <w:szCs w:val="24"/>
        </w:rPr>
        <w:t xml:space="preserve"> is consistent with our prior</w:t>
      </w:r>
      <w:r w:rsidR="0068478E">
        <w:rPr>
          <w:sz w:val="24"/>
          <w:szCs w:val="24"/>
        </w:rPr>
        <w:t xml:space="preserve"> comments and seems like a reasonable threshold under the current circumstances.</w:t>
      </w:r>
      <w:r>
        <w:rPr>
          <w:sz w:val="24"/>
          <w:szCs w:val="24"/>
        </w:rPr>
        <w:t xml:space="preserve"> </w:t>
      </w:r>
      <w:r w:rsidR="00A47FC2">
        <w:rPr>
          <w:sz w:val="24"/>
          <w:szCs w:val="24"/>
        </w:rPr>
        <w:t>We also noted</w:t>
      </w:r>
      <w:r w:rsidR="00B978B8">
        <w:rPr>
          <w:sz w:val="24"/>
          <w:szCs w:val="24"/>
        </w:rPr>
        <w:t xml:space="preserve"> that geographical disparities alone dictated that the salary threshold be lowered to create a test that is equitable for urban, metropolitan, and rural providers.  The</w:t>
      </w:r>
      <w:r w:rsidR="00A47FC2">
        <w:rPr>
          <w:sz w:val="24"/>
          <w:szCs w:val="24"/>
        </w:rPr>
        <w:t xml:space="preserve"> current proposed salary test threshold accomplishes</w:t>
      </w:r>
      <w:r w:rsidR="00B978B8">
        <w:rPr>
          <w:sz w:val="24"/>
          <w:szCs w:val="24"/>
        </w:rPr>
        <w:t xml:space="preserve"> that</w:t>
      </w:r>
      <w:r w:rsidR="00A47FC2">
        <w:rPr>
          <w:sz w:val="24"/>
          <w:szCs w:val="24"/>
        </w:rPr>
        <w:t xml:space="preserve"> goal</w:t>
      </w:r>
      <w:r w:rsidR="00B978B8">
        <w:rPr>
          <w:sz w:val="24"/>
          <w:szCs w:val="24"/>
        </w:rPr>
        <w:t>.</w:t>
      </w:r>
    </w:p>
    <w:p w14:paraId="148260C2" w14:textId="77777777" w:rsidR="003A63DB" w:rsidRDefault="003A63DB" w:rsidP="005552A2">
      <w:pPr>
        <w:pStyle w:val="ListParagraph"/>
        <w:ind w:left="0"/>
        <w:rPr>
          <w:sz w:val="24"/>
          <w:szCs w:val="24"/>
        </w:rPr>
      </w:pPr>
    </w:p>
    <w:p w14:paraId="68C6B35D" w14:textId="77777777" w:rsidR="005552A2" w:rsidRDefault="005A0177" w:rsidP="005552A2">
      <w:pPr>
        <w:pStyle w:val="ListParagraph"/>
        <w:ind w:left="0"/>
        <w:rPr>
          <w:sz w:val="24"/>
          <w:szCs w:val="24"/>
        </w:rPr>
      </w:pPr>
      <w:r>
        <w:rPr>
          <w:b/>
          <w:sz w:val="24"/>
          <w:szCs w:val="24"/>
          <w:u w:val="single"/>
        </w:rPr>
        <w:t xml:space="preserve">The salary test should not be adjusted automatically on an annual basis. </w:t>
      </w:r>
      <w:r w:rsidR="00465002">
        <w:rPr>
          <w:sz w:val="24"/>
          <w:szCs w:val="24"/>
        </w:rPr>
        <w:t xml:space="preserve">  </w:t>
      </w:r>
    </w:p>
    <w:p w14:paraId="29DBDC2A" w14:textId="77777777" w:rsidR="00CF2C71" w:rsidRDefault="00CF2C71" w:rsidP="005552A2">
      <w:pPr>
        <w:pStyle w:val="ListParagraph"/>
        <w:ind w:left="0"/>
        <w:rPr>
          <w:sz w:val="24"/>
          <w:szCs w:val="24"/>
        </w:rPr>
      </w:pPr>
    </w:p>
    <w:p w14:paraId="729A07E1" w14:textId="1BF11B49" w:rsidR="00CF2C71" w:rsidRDefault="00CF2C71" w:rsidP="005552A2">
      <w:pPr>
        <w:pStyle w:val="ListParagraph"/>
        <w:ind w:left="0"/>
        <w:rPr>
          <w:sz w:val="24"/>
          <w:szCs w:val="24"/>
        </w:rPr>
      </w:pPr>
      <w:r>
        <w:rPr>
          <w:sz w:val="24"/>
          <w:szCs w:val="24"/>
        </w:rPr>
        <w:t xml:space="preserve">One of the hallmarks of the regulatory system in this country is the public accountability and transparency that results from </w:t>
      </w:r>
      <w:r w:rsidR="00D60CBE">
        <w:rPr>
          <w:sz w:val="24"/>
          <w:szCs w:val="24"/>
        </w:rPr>
        <w:t xml:space="preserve">subjecting regulatory proposals to public analysis, assessment and comment.  Annual </w:t>
      </w:r>
      <w:r w:rsidR="00753D5A">
        <w:rPr>
          <w:sz w:val="24"/>
          <w:szCs w:val="24"/>
        </w:rPr>
        <w:t xml:space="preserve">automatic </w:t>
      </w:r>
      <w:r w:rsidR="00D60CBE">
        <w:rPr>
          <w:sz w:val="24"/>
          <w:szCs w:val="24"/>
        </w:rPr>
        <w:t>adjustment of the monetary threshold for the salary test bypasses this critical component of the regulatory process</w:t>
      </w:r>
      <w:r w:rsidR="00753D5A">
        <w:rPr>
          <w:sz w:val="24"/>
          <w:szCs w:val="24"/>
        </w:rPr>
        <w:t xml:space="preserve"> and renders the process of achieving the proper balance between employer and employee interests immune from public discourse.  Additionall</w:t>
      </w:r>
      <w:r w:rsidR="00A57DB3">
        <w:rPr>
          <w:sz w:val="24"/>
          <w:szCs w:val="24"/>
        </w:rPr>
        <w:t>y, some of our members believe</w:t>
      </w:r>
      <w:r w:rsidR="00753D5A">
        <w:rPr>
          <w:sz w:val="24"/>
          <w:szCs w:val="24"/>
        </w:rPr>
        <w:t xml:space="preserve"> that an automatic annual adjustment to the threshold would frustrate their efforts to maintain a stable balance between exempt and non-exempt employees.  </w:t>
      </w:r>
      <w:r w:rsidR="00A57DB3">
        <w:rPr>
          <w:sz w:val="24"/>
          <w:szCs w:val="24"/>
        </w:rPr>
        <w:t>Thus</w:t>
      </w:r>
      <w:r w:rsidR="00753D5A">
        <w:rPr>
          <w:sz w:val="24"/>
          <w:szCs w:val="24"/>
        </w:rPr>
        <w:t xml:space="preserve">, we implore the Department not to include an automatic annual adjustment of the salary test threshold. </w:t>
      </w:r>
    </w:p>
    <w:p w14:paraId="1A2D2DAA" w14:textId="77777777" w:rsidR="00CF2C71" w:rsidRDefault="00CF2C71" w:rsidP="005552A2">
      <w:pPr>
        <w:pStyle w:val="ListParagraph"/>
        <w:ind w:left="0"/>
        <w:rPr>
          <w:sz w:val="24"/>
          <w:szCs w:val="24"/>
        </w:rPr>
      </w:pPr>
    </w:p>
    <w:p w14:paraId="523D8E06" w14:textId="77777777" w:rsidR="00CF2C71" w:rsidRDefault="00CF2C71" w:rsidP="005552A2">
      <w:pPr>
        <w:pStyle w:val="ListParagraph"/>
        <w:ind w:left="0"/>
        <w:rPr>
          <w:sz w:val="24"/>
          <w:szCs w:val="24"/>
        </w:rPr>
      </w:pPr>
      <w:r>
        <w:rPr>
          <w:b/>
          <w:sz w:val="24"/>
          <w:szCs w:val="24"/>
          <w:u w:val="single"/>
        </w:rPr>
        <w:t>Any further changes to the EAP Exemption should be accomplished through proposed rulemaking.</w:t>
      </w:r>
    </w:p>
    <w:p w14:paraId="1E7E7005" w14:textId="77777777" w:rsidR="00224830" w:rsidRDefault="00224830" w:rsidP="005552A2">
      <w:pPr>
        <w:pStyle w:val="ListParagraph"/>
        <w:ind w:left="0"/>
        <w:rPr>
          <w:sz w:val="24"/>
          <w:szCs w:val="24"/>
        </w:rPr>
      </w:pPr>
    </w:p>
    <w:p w14:paraId="739C429C" w14:textId="0B4F7147" w:rsidR="00751E77" w:rsidRDefault="00A47FC2" w:rsidP="005552A2">
      <w:pPr>
        <w:pStyle w:val="ListParagraph"/>
        <w:ind w:left="0"/>
        <w:rPr>
          <w:bCs/>
          <w:sz w:val="24"/>
          <w:szCs w:val="24"/>
        </w:rPr>
      </w:pPr>
      <w:r>
        <w:rPr>
          <w:bCs/>
          <w:sz w:val="24"/>
          <w:szCs w:val="24"/>
        </w:rPr>
        <w:t>Although there are no proposed changes to the duties test, w</w:t>
      </w:r>
      <w:r w:rsidR="007053CE">
        <w:rPr>
          <w:bCs/>
          <w:sz w:val="24"/>
          <w:szCs w:val="24"/>
        </w:rPr>
        <w:t xml:space="preserve">e express the same concerns about public accountability and transparency with respect to any changes the Department would like to make to the duties test of the EAP exemption </w:t>
      </w:r>
      <w:r>
        <w:rPr>
          <w:bCs/>
          <w:sz w:val="24"/>
          <w:szCs w:val="24"/>
        </w:rPr>
        <w:t>in the</w:t>
      </w:r>
      <w:r w:rsidR="00A57DB3">
        <w:rPr>
          <w:bCs/>
          <w:sz w:val="24"/>
          <w:szCs w:val="24"/>
        </w:rPr>
        <w:t xml:space="preserve"> future</w:t>
      </w:r>
      <w:r w:rsidR="007053CE">
        <w:rPr>
          <w:bCs/>
          <w:sz w:val="24"/>
          <w:szCs w:val="24"/>
        </w:rPr>
        <w:t xml:space="preserve">.  Public accountability </w:t>
      </w:r>
      <w:r w:rsidR="007053CE">
        <w:rPr>
          <w:bCs/>
          <w:sz w:val="24"/>
          <w:szCs w:val="24"/>
        </w:rPr>
        <w:lastRenderedPageBreak/>
        <w:t xml:space="preserve">for any changes the Department decides to make as a result of </w:t>
      </w:r>
      <w:r w:rsidR="000229D7">
        <w:rPr>
          <w:bCs/>
          <w:sz w:val="24"/>
          <w:szCs w:val="24"/>
        </w:rPr>
        <w:t xml:space="preserve">its collection of suggestions in this Proposed Rule demands further proposed rulemaking in order to ensure the integrity of the entire regulatory system.  </w:t>
      </w:r>
      <w:r w:rsidR="007053CE">
        <w:rPr>
          <w:bCs/>
          <w:sz w:val="24"/>
          <w:szCs w:val="24"/>
        </w:rPr>
        <w:t xml:space="preserve"> </w:t>
      </w:r>
      <w:r w:rsidR="000229D7">
        <w:rPr>
          <w:bCs/>
          <w:sz w:val="24"/>
          <w:szCs w:val="24"/>
        </w:rPr>
        <w:t xml:space="preserve">Just as it is a matter of fairness to update the salary test of the EAP exemption, so is it a matter </w:t>
      </w:r>
      <w:r w:rsidR="00315809">
        <w:rPr>
          <w:bCs/>
          <w:sz w:val="24"/>
          <w:szCs w:val="24"/>
        </w:rPr>
        <w:t xml:space="preserve">of fairness to afford employers, employees and other stakeholders </w:t>
      </w:r>
      <w:r w:rsidR="000229D7">
        <w:rPr>
          <w:bCs/>
          <w:sz w:val="24"/>
          <w:szCs w:val="24"/>
        </w:rPr>
        <w:t xml:space="preserve">the opportunity to respond to any specific regulatory changes to the duties test and other aspects of the EAP exemption.  </w:t>
      </w:r>
    </w:p>
    <w:p w14:paraId="113878D3" w14:textId="77777777" w:rsidR="00753D5A" w:rsidRDefault="00753D5A" w:rsidP="005552A2">
      <w:pPr>
        <w:pStyle w:val="ListParagraph"/>
        <w:ind w:left="0"/>
        <w:rPr>
          <w:bCs/>
          <w:sz w:val="24"/>
          <w:szCs w:val="24"/>
        </w:rPr>
      </w:pPr>
    </w:p>
    <w:p w14:paraId="3E7FF42B" w14:textId="5CFA7D27" w:rsidR="00224830" w:rsidRDefault="00224830" w:rsidP="005552A2">
      <w:pPr>
        <w:pStyle w:val="ListParagraph"/>
        <w:ind w:left="0"/>
        <w:rPr>
          <w:bCs/>
          <w:sz w:val="24"/>
          <w:szCs w:val="24"/>
        </w:rPr>
      </w:pPr>
      <w:r w:rsidRPr="00224830">
        <w:rPr>
          <w:bCs/>
          <w:sz w:val="24"/>
          <w:szCs w:val="24"/>
        </w:rPr>
        <w:t>LeadingAge appreciates the opportunity to submit comments. If you wish to discuss any of these comments further, please do not hesitate to contact us.</w:t>
      </w:r>
    </w:p>
    <w:p w14:paraId="4DC6F454" w14:textId="77777777" w:rsidR="00224830" w:rsidRDefault="00224830" w:rsidP="005552A2">
      <w:pPr>
        <w:pStyle w:val="ListParagraph"/>
        <w:ind w:left="0"/>
        <w:rPr>
          <w:bCs/>
          <w:sz w:val="24"/>
          <w:szCs w:val="24"/>
        </w:rPr>
      </w:pPr>
    </w:p>
    <w:p w14:paraId="64982B22" w14:textId="77777777" w:rsidR="00A01FA6" w:rsidRDefault="00A01FA6" w:rsidP="005552A2">
      <w:pPr>
        <w:pStyle w:val="ListParagraph"/>
        <w:ind w:left="0"/>
        <w:rPr>
          <w:bCs/>
          <w:sz w:val="24"/>
          <w:szCs w:val="24"/>
        </w:rPr>
      </w:pPr>
    </w:p>
    <w:p w14:paraId="3CBB916A" w14:textId="77777777" w:rsidR="00224830" w:rsidRDefault="002C362E" w:rsidP="005552A2">
      <w:pPr>
        <w:pStyle w:val="ListParagraph"/>
        <w:ind w:left="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224830">
        <w:rPr>
          <w:bCs/>
          <w:sz w:val="24"/>
          <w:szCs w:val="24"/>
        </w:rPr>
        <w:t>Sincerely,</w:t>
      </w:r>
    </w:p>
    <w:p w14:paraId="02C67617" w14:textId="77777777" w:rsidR="00224830" w:rsidRDefault="00224830" w:rsidP="005552A2">
      <w:pPr>
        <w:pStyle w:val="ListParagraph"/>
        <w:ind w:left="0"/>
        <w:rPr>
          <w:bCs/>
          <w:sz w:val="24"/>
          <w:szCs w:val="24"/>
        </w:rPr>
      </w:pPr>
    </w:p>
    <w:p w14:paraId="12ACF706" w14:textId="77777777" w:rsidR="002C362E" w:rsidRDefault="002C362E" w:rsidP="002C362E">
      <w:pPr>
        <w:ind w:left="3600" w:firstLine="720"/>
        <w:rPr>
          <w:bCs/>
          <w:sz w:val="24"/>
          <w:szCs w:val="24"/>
        </w:rPr>
      </w:pPr>
    </w:p>
    <w:p w14:paraId="7C568EF2" w14:textId="43989121" w:rsidR="00077FAF" w:rsidRDefault="00077FAF" w:rsidP="002C362E">
      <w:pPr>
        <w:ind w:left="3600" w:firstLine="720"/>
        <w:rPr>
          <w:bCs/>
          <w:sz w:val="24"/>
          <w:szCs w:val="24"/>
        </w:rPr>
      </w:pPr>
      <w:r>
        <w:rPr>
          <w:bCs/>
          <w:sz w:val="24"/>
          <w:szCs w:val="24"/>
        </w:rPr>
        <w:t>Cory Kallheim</w:t>
      </w:r>
    </w:p>
    <w:p w14:paraId="1FB6D1BA" w14:textId="4F04808B" w:rsidR="00077FAF" w:rsidRDefault="00077FAF" w:rsidP="002C362E">
      <w:pPr>
        <w:ind w:left="3600" w:firstLine="720"/>
        <w:rPr>
          <w:bCs/>
          <w:sz w:val="24"/>
          <w:szCs w:val="24"/>
        </w:rPr>
      </w:pPr>
      <w:r>
        <w:rPr>
          <w:bCs/>
          <w:sz w:val="24"/>
          <w:szCs w:val="24"/>
        </w:rPr>
        <w:t>VP, Legal Affairs and Social Accountability</w:t>
      </w:r>
    </w:p>
    <w:p w14:paraId="108D4A2C" w14:textId="77777777" w:rsidR="00224830" w:rsidRPr="002C362E" w:rsidRDefault="00224830" w:rsidP="002C362E">
      <w:pPr>
        <w:ind w:left="3600" w:firstLine="720"/>
        <w:rPr>
          <w:sz w:val="24"/>
          <w:szCs w:val="24"/>
        </w:rPr>
      </w:pPr>
    </w:p>
    <w:sectPr w:rsidR="00224830" w:rsidRPr="002C362E" w:rsidSect="00A901A9">
      <w:headerReference w:type="even" r:id="rId9"/>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63EB" w14:textId="77777777" w:rsidR="00A47FC2" w:rsidRDefault="00A47FC2" w:rsidP="00504FC2">
      <w:pPr>
        <w:spacing w:after="0" w:line="240" w:lineRule="auto"/>
      </w:pPr>
      <w:r>
        <w:separator/>
      </w:r>
    </w:p>
  </w:endnote>
  <w:endnote w:type="continuationSeparator" w:id="0">
    <w:p w14:paraId="1BFAB53F" w14:textId="77777777" w:rsidR="00A47FC2" w:rsidRDefault="00A47FC2" w:rsidP="0050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ievitOT-Regular">
    <w:altName w:val="Agency FB"/>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2BD1" w14:textId="77777777" w:rsidR="00A47FC2" w:rsidRDefault="00A47FC2" w:rsidP="00504FC2">
      <w:pPr>
        <w:spacing w:after="0" w:line="240" w:lineRule="auto"/>
      </w:pPr>
      <w:r>
        <w:separator/>
      </w:r>
    </w:p>
  </w:footnote>
  <w:footnote w:type="continuationSeparator" w:id="0">
    <w:p w14:paraId="2A4042EE" w14:textId="77777777" w:rsidR="00A47FC2" w:rsidRDefault="00A47FC2" w:rsidP="0050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7C49" w14:textId="77777777" w:rsidR="00A47FC2" w:rsidRDefault="00AA7CAD">
    <w:pPr>
      <w:pStyle w:val="Header"/>
    </w:pPr>
    <w:r>
      <w:rPr>
        <w:noProof/>
      </w:rPr>
      <w:pict w14:anchorId="219D3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0282" o:spid="_x0000_s2054" type="#_x0000_t75" style="position:absolute;margin-left:0;margin-top:0;width:612pt;height:11in;z-index:-251658240;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A4EBF" w14:textId="77777777" w:rsidR="00A47FC2" w:rsidRDefault="00A47FC2">
    <w:pPr>
      <w:pStyle w:val="Header"/>
    </w:pPr>
    <w:r>
      <w:t>Mr. Robert Waterman</w:t>
    </w:r>
  </w:p>
  <w:p w14:paraId="06FBDE5D" w14:textId="1501AD00" w:rsidR="00A47FC2" w:rsidRDefault="00A47FC2">
    <w:pPr>
      <w:pStyle w:val="Header"/>
    </w:pPr>
    <w:r>
      <w:t xml:space="preserve">May </w:t>
    </w:r>
    <w:r w:rsidR="00077FAF">
      <w:t xml:space="preserve">9, </w:t>
    </w:r>
    <w:r>
      <w:t>2019</w:t>
    </w:r>
  </w:p>
  <w:p w14:paraId="078E5B9F" w14:textId="77777777" w:rsidR="00A47FC2" w:rsidRDefault="00A47FC2">
    <w:pPr>
      <w:pStyle w:val="Header"/>
      <w:rPr>
        <w:noProof/>
      </w:rPr>
    </w:pPr>
    <w:r>
      <w:t xml:space="preserve">Page </w:t>
    </w:r>
    <w:r>
      <w:fldChar w:fldCharType="begin"/>
    </w:r>
    <w:r>
      <w:instrText xml:space="preserve"> PAGE   \* MERGEFORMAT </w:instrText>
    </w:r>
    <w:r>
      <w:fldChar w:fldCharType="separate"/>
    </w:r>
    <w:r w:rsidR="00077FAF">
      <w:rPr>
        <w:noProof/>
      </w:rPr>
      <w:t>2</w:t>
    </w:r>
    <w:r>
      <w:rPr>
        <w:noProof/>
      </w:rPr>
      <w:fldChar w:fldCharType="end"/>
    </w:r>
  </w:p>
  <w:p w14:paraId="7B5DA153" w14:textId="77777777" w:rsidR="00A47FC2" w:rsidRDefault="00A47FC2">
    <w:pPr>
      <w:pStyle w:val="Header"/>
      <w:rPr>
        <w:noProof/>
      </w:rPr>
    </w:pPr>
  </w:p>
  <w:p w14:paraId="5202E0B1" w14:textId="77777777" w:rsidR="00A47FC2" w:rsidRDefault="00A47FC2">
    <w:pPr>
      <w:pStyle w:val="Header"/>
    </w:pPr>
  </w:p>
  <w:p w14:paraId="5372C3BC" w14:textId="77777777" w:rsidR="00A47FC2" w:rsidRDefault="00A47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D7E4" w14:textId="77777777" w:rsidR="00A47FC2" w:rsidRDefault="00A47FC2">
    <w:pPr>
      <w:pStyle w:val="Header"/>
    </w:pPr>
    <w:r w:rsidRPr="00B678E1">
      <w:rPr>
        <w:noProof/>
      </w:rPr>
      <w:drawing>
        <wp:anchor distT="0" distB="0" distL="114300" distR="114300" simplePos="0" relativeHeight="251657216" behindDoc="1" locked="0" layoutInCell="0" allowOverlap="0" wp14:anchorId="28096361" wp14:editId="0B36500A">
          <wp:simplePos x="0" y="0"/>
          <wp:positionH relativeFrom="page">
            <wp:align>center</wp:align>
          </wp:positionH>
          <wp:positionV relativeFrom="page">
            <wp:align>center</wp:align>
          </wp:positionV>
          <wp:extent cx="7778750" cy="10058400"/>
          <wp:effectExtent l="19050" t="0" r="0" b="0"/>
          <wp:wrapNone/>
          <wp:docPr id="6" name="Letterhead.jpg" descr="S:\CREATIVE_SERVICES\LeadingAge Collateral\Letterhead bus cards envelope etc\LeadingAge Corporate\PDF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r:link="rId2"/>
                  <a:stretch>
                    <a:fillRect/>
                  </a:stretch>
                </pic:blipFill>
                <pic:spPr>
                  <a:xfrm>
                    <a:off x="0" y="0"/>
                    <a:ext cx="7778750" cy="10058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70B6F"/>
    <w:multiLevelType w:val="hybridMultilevel"/>
    <w:tmpl w:val="CB14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830BF"/>
    <w:multiLevelType w:val="hybridMultilevel"/>
    <w:tmpl w:val="ACF4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C2"/>
    <w:rsid w:val="0001053F"/>
    <w:rsid w:val="000229D7"/>
    <w:rsid w:val="00077FAF"/>
    <w:rsid w:val="000E18E5"/>
    <w:rsid w:val="000F721C"/>
    <w:rsid w:val="00101463"/>
    <w:rsid w:val="0011492D"/>
    <w:rsid w:val="00115F9D"/>
    <w:rsid w:val="0015137D"/>
    <w:rsid w:val="00154211"/>
    <w:rsid w:val="001B4CAF"/>
    <w:rsid w:val="001E05EA"/>
    <w:rsid w:val="001E555B"/>
    <w:rsid w:val="00224830"/>
    <w:rsid w:val="002435AB"/>
    <w:rsid w:val="0024624F"/>
    <w:rsid w:val="002843A7"/>
    <w:rsid w:val="002A2F25"/>
    <w:rsid w:val="002B4543"/>
    <w:rsid w:val="002C362E"/>
    <w:rsid w:val="002E0851"/>
    <w:rsid w:val="00315809"/>
    <w:rsid w:val="00353FB7"/>
    <w:rsid w:val="00363C11"/>
    <w:rsid w:val="003640CC"/>
    <w:rsid w:val="00376441"/>
    <w:rsid w:val="00392514"/>
    <w:rsid w:val="003A63DB"/>
    <w:rsid w:val="003C43F5"/>
    <w:rsid w:val="003C7CC0"/>
    <w:rsid w:val="003E5CE9"/>
    <w:rsid w:val="00423125"/>
    <w:rsid w:val="004614E7"/>
    <w:rsid w:val="00465002"/>
    <w:rsid w:val="00484A8F"/>
    <w:rsid w:val="004D0751"/>
    <w:rsid w:val="00504FC2"/>
    <w:rsid w:val="005552A2"/>
    <w:rsid w:val="0058210A"/>
    <w:rsid w:val="005934D5"/>
    <w:rsid w:val="005A0177"/>
    <w:rsid w:val="005A339C"/>
    <w:rsid w:val="005C5F95"/>
    <w:rsid w:val="005D1E73"/>
    <w:rsid w:val="005D3206"/>
    <w:rsid w:val="005D5420"/>
    <w:rsid w:val="005D7621"/>
    <w:rsid w:val="005E64D3"/>
    <w:rsid w:val="0068478E"/>
    <w:rsid w:val="00685BCD"/>
    <w:rsid w:val="00696AA8"/>
    <w:rsid w:val="006A6D70"/>
    <w:rsid w:val="006B236C"/>
    <w:rsid w:val="006D2FA8"/>
    <w:rsid w:val="006D675D"/>
    <w:rsid w:val="006F44DB"/>
    <w:rsid w:val="007053CE"/>
    <w:rsid w:val="00751E77"/>
    <w:rsid w:val="00753D5A"/>
    <w:rsid w:val="0077116A"/>
    <w:rsid w:val="007F2187"/>
    <w:rsid w:val="007F2E2D"/>
    <w:rsid w:val="007F6F35"/>
    <w:rsid w:val="0082446F"/>
    <w:rsid w:val="00832400"/>
    <w:rsid w:val="00846867"/>
    <w:rsid w:val="00851378"/>
    <w:rsid w:val="00870292"/>
    <w:rsid w:val="00880CA2"/>
    <w:rsid w:val="008D3754"/>
    <w:rsid w:val="00937462"/>
    <w:rsid w:val="00951BA8"/>
    <w:rsid w:val="0097564B"/>
    <w:rsid w:val="009E5728"/>
    <w:rsid w:val="009E6CF0"/>
    <w:rsid w:val="00A01FA6"/>
    <w:rsid w:val="00A06040"/>
    <w:rsid w:val="00A47FC2"/>
    <w:rsid w:val="00A507FF"/>
    <w:rsid w:val="00A5620C"/>
    <w:rsid w:val="00A57DB3"/>
    <w:rsid w:val="00A71297"/>
    <w:rsid w:val="00A901A9"/>
    <w:rsid w:val="00AA7CAD"/>
    <w:rsid w:val="00AE070D"/>
    <w:rsid w:val="00B0125A"/>
    <w:rsid w:val="00B5123B"/>
    <w:rsid w:val="00B678E1"/>
    <w:rsid w:val="00B978B8"/>
    <w:rsid w:val="00BF0AFE"/>
    <w:rsid w:val="00BF0B13"/>
    <w:rsid w:val="00C3638D"/>
    <w:rsid w:val="00CC0B70"/>
    <w:rsid w:val="00CF2C71"/>
    <w:rsid w:val="00D11F7F"/>
    <w:rsid w:val="00D152E1"/>
    <w:rsid w:val="00D25C9A"/>
    <w:rsid w:val="00D60CBE"/>
    <w:rsid w:val="00D80923"/>
    <w:rsid w:val="00DC3495"/>
    <w:rsid w:val="00DC48E9"/>
    <w:rsid w:val="00DF651C"/>
    <w:rsid w:val="00E17DBE"/>
    <w:rsid w:val="00E2458B"/>
    <w:rsid w:val="00E746BC"/>
    <w:rsid w:val="00E915A8"/>
    <w:rsid w:val="00EA19FC"/>
    <w:rsid w:val="00EF2C63"/>
    <w:rsid w:val="00EF7F52"/>
    <w:rsid w:val="00F36683"/>
    <w:rsid w:val="00F8704B"/>
    <w:rsid w:val="00FA3CA3"/>
    <w:rsid w:val="00FB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4129D3B"/>
  <w15:docId w15:val="{C778B6CD-65B7-424B-BD6E-A5E2FD9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FC2"/>
  </w:style>
  <w:style w:type="paragraph" w:styleId="Footer">
    <w:name w:val="footer"/>
    <w:basedOn w:val="Normal"/>
    <w:link w:val="FooterChar"/>
    <w:uiPriority w:val="99"/>
    <w:unhideWhenUsed/>
    <w:rsid w:val="0050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FC2"/>
  </w:style>
  <w:style w:type="paragraph" w:styleId="BalloonText">
    <w:name w:val="Balloon Text"/>
    <w:basedOn w:val="Normal"/>
    <w:link w:val="BalloonTextChar"/>
    <w:uiPriority w:val="99"/>
    <w:semiHidden/>
    <w:unhideWhenUsed/>
    <w:rsid w:val="0050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C2"/>
    <w:rPr>
      <w:rFonts w:ascii="Tahoma" w:hAnsi="Tahoma" w:cs="Tahoma"/>
      <w:sz w:val="16"/>
      <w:szCs w:val="16"/>
    </w:rPr>
  </w:style>
  <w:style w:type="paragraph" w:customStyle="1" w:styleId="LargerBodyType">
    <w:name w:val="Larger Body Type"/>
    <w:basedOn w:val="Normal"/>
    <w:uiPriority w:val="99"/>
    <w:rsid w:val="00851378"/>
    <w:pPr>
      <w:autoSpaceDE w:val="0"/>
      <w:autoSpaceDN w:val="0"/>
      <w:adjustRightInd w:val="0"/>
      <w:spacing w:after="0" w:line="260" w:lineRule="atLeast"/>
      <w:jc w:val="both"/>
      <w:textAlignment w:val="center"/>
    </w:pPr>
    <w:rPr>
      <w:rFonts w:ascii="KievitOT-Regular" w:eastAsia="Times New Roman" w:hAnsi="KievitOT-Regular" w:cs="KievitOT-Regular"/>
      <w:color w:val="3E444F"/>
      <w:sz w:val="20"/>
      <w:szCs w:val="20"/>
    </w:rPr>
  </w:style>
  <w:style w:type="character" w:styleId="Hyperlink">
    <w:name w:val="Hyperlink"/>
    <w:uiPriority w:val="99"/>
    <w:unhideWhenUsed/>
    <w:rsid w:val="00851378"/>
    <w:rPr>
      <w:color w:val="0000FF"/>
      <w:u w:val="single"/>
    </w:rPr>
  </w:style>
  <w:style w:type="paragraph" w:styleId="ListParagraph">
    <w:name w:val="List Paragraph"/>
    <w:basedOn w:val="Normal"/>
    <w:uiPriority w:val="34"/>
    <w:qFormat/>
    <w:rsid w:val="006B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ingag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file:///S:\CREATIVE_SERVICES\LeadingAge%20Collateral\Letterhead%20bus%20cards%20envelope%20etc\LeadingAge%20Corporate\PDFs\Letterhead.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0FA33-A74A-407D-A2E3-26B09531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jhilliard</dc:creator>
  <cp:lastModifiedBy>Jodi Boyne</cp:lastModifiedBy>
  <cp:revision>2</cp:revision>
  <cp:lastPrinted>2019-04-25T16:58:00Z</cp:lastPrinted>
  <dcterms:created xsi:type="dcterms:W3CDTF">2019-05-13T14:37:00Z</dcterms:created>
  <dcterms:modified xsi:type="dcterms:W3CDTF">2019-05-13T14:37:00Z</dcterms:modified>
</cp:coreProperties>
</file>