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C0E18" w14:textId="7EFF2937" w:rsidR="006972B9" w:rsidRPr="004C37D5" w:rsidRDefault="004C37D5" w:rsidP="006972B9">
      <w:pPr>
        <w:pStyle w:val="BodyText"/>
        <w:rPr>
          <w:b/>
        </w:rPr>
      </w:pPr>
      <w:r w:rsidRPr="004C37D5">
        <w:rPr>
          <w:b/>
        </w:rPr>
        <w:t>Date:</w:t>
      </w:r>
      <w:r w:rsidR="004A24D5">
        <w:rPr>
          <w:b/>
        </w:rPr>
        <w:tab/>
      </w:r>
      <w:r w:rsidR="00E36BFA">
        <w:rPr>
          <w:b/>
        </w:rPr>
        <w:t xml:space="preserve">August </w:t>
      </w:r>
      <w:r w:rsidR="001662C1">
        <w:rPr>
          <w:b/>
        </w:rPr>
        <w:t>2</w:t>
      </w:r>
      <w:r w:rsidR="004A24D5">
        <w:rPr>
          <w:b/>
        </w:rPr>
        <w:t>, 2023</w:t>
      </w:r>
    </w:p>
    <w:p w14:paraId="42C58663" w14:textId="7945B2F2" w:rsidR="004C37D5" w:rsidRPr="004C37D5" w:rsidRDefault="004C37D5" w:rsidP="006972B9">
      <w:pPr>
        <w:pStyle w:val="BodyText"/>
        <w:rPr>
          <w:b/>
        </w:rPr>
      </w:pPr>
      <w:r w:rsidRPr="004C37D5">
        <w:rPr>
          <w:b/>
        </w:rPr>
        <w:t>To:</w:t>
      </w:r>
      <w:r w:rsidR="004A24D5">
        <w:rPr>
          <w:b/>
        </w:rPr>
        <w:tab/>
        <w:t>MN Medicaid Certified Nursing Facilities</w:t>
      </w:r>
    </w:p>
    <w:p w14:paraId="2EC14B5F" w14:textId="5757D71B" w:rsidR="004C37D5" w:rsidRPr="004C37D5" w:rsidRDefault="004C37D5" w:rsidP="006972B9">
      <w:pPr>
        <w:pStyle w:val="BodyText"/>
        <w:rPr>
          <w:b/>
        </w:rPr>
      </w:pPr>
      <w:r w:rsidRPr="004C37D5">
        <w:rPr>
          <w:b/>
        </w:rPr>
        <w:t>From:</w:t>
      </w:r>
      <w:r w:rsidR="004A24D5">
        <w:rPr>
          <w:b/>
        </w:rPr>
        <w:tab/>
        <w:t>Nursing Facility Rates and Policy Division</w:t>
      </w:r>
    </w:p>
    <w:p w14:paraId="48755952" w14:textId="30963F83" w:rsidR="004C37D5" w:rsidRDefault="004C37D5" w:rsidP="004C37D5">
      <w:pPr>
        <w:pStyle w:val="Heading2"/>
      </w:pPr>
      <w:r w:rsidRPr="002C1F0A">
        <w:t>RE:</w:t>
      </w:r>
      <w:r>
        <w:t xml:space="preserve"> </w:t>
      </w:r>
      <w:r w:rsidR="004A24D5">
        <w:t>Frequently Asked Questions (FAQ) re:  The August 1</w:t>
      </w:r>
      <w:r w:rsidR="004A24D5" w:rsidRPr="004A24D5">
        <w:rPr>
          <w:vertAlign w:val="superscript"/>
        </w:rPr>
        <w:t>st</w:t>
      </w:r>
      <w:r w:rsidR="004A24D5">
        <w:t xml:space="preserve"> Payment to Nursing Facilities</w:t>
      </w:r>
      <w:r w:rsidR="00E36BFA">
        <w:t xml:space="preserve"> – 2</w:t>
      </w:r>
      <w:r w:rsidR="00E36BFA" w:rsidRPr="00E36BFA">
        <w:rPr>
          <w:vertAlign w:val="superscript"/>
        </w:rPr>
        <w:t>nd</w:t>
      </w:r>
      <w:r w:rsidR="00E36BFA">
        <w:t xml:space="preserve"> Edition</w:t>
      </w:r>
    </w:p>
    <w:p w14:paraId="1A86D15D" w14:textId="05F88A32" w:rsidR="004A24D5" w:rsidRPr="00546876" w:rsidRDefault="004A24D5" w:rsidP="004A24D5">
      <w:pPr>
        <w:rPr>
          <w:rFonts w:asciiTheme="minorHAnsi" w:hAnsiTheme="minorHAnsi" w:cstheme="minorHAnsi"/>
          <w:sz w:val="24"/>
          <w:szCs w:val="24"/>
        </w:rPr>
      </w:pPr>
      <w:r w:rsidRPr="00546876">
        <w:rPr>
          <w:rFonts w:asciiTheme="minorHAnsi" w:hAnsiTheme="minorHAnsi" w:cstheme="minorHAnsi"/>
          <w:sz w:val="24"/>
          <w:szCs w:val="24"/>
        </w:rPr>
        <w:t xml:space="preserve">2023 Minnesota Session Laws, Chapter 74, Section 2, Nursing </w:t>
      </w:r>
      <w:r w:rsidR="002E29B7" w:rsidRPr="00546876">
        <w:rPr>
          <w:rFonts w:asciiTheme="minorHAnsi" w:hAnsiTheme="minorHAnsi" w:cstheme="minorHAnsi"/>
          <w:sz w:val="24"/>
          <w:szCs w:val="24"/>
        </w:rPr>
        <w:t>F</w:t>
      </w:r>
      <w:r w:rsidRPr="00546876">
        <w:rPr>
          <w:rFonts w:asciiTheme="minorHAnsi" w:hAnsiTheme="minorHAnsi" w:cstheme="minorHAnsi"/>
          <w:sz w:val="24"/>
          <w:szCs w:val="24"/>
        </w:rPr>
        <w:t xml:space="preserve">acilities must use the payment for nursing facility operations for the following specific expenses:  </w:t>
      </w:r>
    </w:p>
    <w:p w14:paraId="411A94C2" w14:textId="49C46AEA" w:rsidR="004A24D5" w:rsidRPr="00546876" w:rsidRDefault="004A24D5" w:rsidP="004A24D5">
      <w:pPr>
        <w:widowControl w:val="0"/>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40" w:lineRule="auto"/>
        <w:ind w:left="450" w:hanging="450"/>
        <w:jc w:val="both"/>
        <w:rPr>
          <w:rFonts w:asciiTheme="minorHAnsi" w:hAnsiTheme="minorHAnsi" w:cstheme="minorHAnsi"/>
          <w:bCs/>
          <w:sz w:val="24"/>
          <w:szCs w:val="24"/>
        </w:rPr>
      </w:pPr>
      <w:r w:rsidRPr="00546876">
        <w:rPr>
          <w:rFonts w:asciiTheme="minorHAnsi" w:hAnsiTheme="minorHAnsi" w:cstheme="minorHAnsi"/>
          <w:b/>
          <w:sz w:val="24"/>
          <w:szCs w:val="24"/>
        </w:rPr>
        <w:t xml:space="preserve"> Allowable Uses for Payment.</w:t>
      </w:r>
      <w:r w:rsidRPr="00546876">
        <w:rPr>
          <w:rFonts w:asciiTheme="minorHAnsi" w:hAnsiTheme="minorHAnsi" w:cstheme="minorHAnsi"/>
          <w:sz w:val="24"/>
          <w:szCs w:val="24"/>
        </w:rPr>
        <w:t xml:space="preserve"> </w:t>
      </w:r>
      <w:r w:rsidR="002E29B7" w:rsidRPr="00546876">
        <w:rPr>
          <w:rFonts w:asciiTheme="minorHAnsi" w:hAnsiTheme="minorHAnsi" w:cstheme="minorHAnsi"/>
          <w:sz w:val="24"/>
          <w:szCs w:val="24"/>
        </w:rPr>
        <w:t xml:space="preserve">Nursing Facility </w:t>
      </w:r>
      <w:r w:rsidRPr="00546876">
        <w:rPr>
          <w:rFonts w:asciiTheme="minorHAnsi" w:hAnsiTheme="minorHAnsi" w:cstheme="minorHAnsi"/>
          <w:bCs/>
          <w:sz w:val="24"/>
          <w:szCs w:val="24"/>
        </w:rPr>
        <w:t>must use the payment for nursing facility operations for the following specific expenses:</w:t>
      </w:r>
    </w:p>
    <w:p w14:paraId="33C9A441" w14:textId="77777777" w:rsidR="004A24D5" w:rsidRPr="00546876" w:rsidRDefault="004A24D5" w:rsidP="004A24D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line="240" w:lineRule="auto"/>
        <w:jc w:val="both"/>
        <w:rPr>
          <w:rFonts w:asciiTheme="minorHAnsi" w:hAnsiTheme="minorHAnsi" w:cstheme="minorHAnsi"/>
          <w:bCs/>
          <w:sz w:val="24"/>
          <w:szCs w:val="24"/>
        </w:rPr>
      </w:pPr>
      <w:r w:rsidRPr="00546876">
        <w:rPr>
          <w:rFonts w:asciiTheme="minorHAnsi" w:hAnsiTheme="minorHAnsi" w:cstheme="minorHAnsi"/>
          <w:bCs/>
          <w:sz w:val="24"/>
          <w:szCs w:val="24"/>
        </w:rPr>
        <w:tab/>
      </w:r>
      <w:r w:rsidRPr="00546876">
        <w:rPr>
          <w:rFonts w:asciiTheme="minorHAnsi" w:hAnsiTheme="minorHAnsi" w:cstheme="minorHAnsi"/>
          <w:bCs/>
          <w:sz w:val="24"/>
          <w:szCs w:val="24"/>
        </w:rPr>
        <w:tab/>
        <w:t xml:space="preserve">(1) covering operating- or property-related long-term debt </w:t>
      </w:r>
      <w:proofErr w:type="gramStart"/>
      <w:r w:rsidRPr="00546876">
        <w:rPr>
          <w:rFonts w:asciiTheme="minorHAnsi" w:hAnsiTheme="minorHAnsi" w:cstheme="minorHAnsi"/>
          <w:bCs/>
          <w:sz w:val="24"/>
          <w:szCs w:val="24"/>
        </w:rPr>
        <w:t>payments;</w:t>
      </w:r>
      <w:proofErr w:type="gramEnd"/>
    </w:p>
    <w:p w14:paraId="59AF19EB" w14:textId="77777777" w:rsidR="004A24D5" w:rsidRPr="00546876" w:rsidRDefault="004A24D5" w:rsidP="004A24D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line="240" w:lineRule="auto"/>
        <w:jc w:val="both"/>
        <w:rPr>
          <w:rFonts w:asciiTheme="minorHAnsi" w:hAnsiTheme="minorHAnsi" w:cstheme="minorHAnsi"/>
          <w:bCs/>
          <w:sz w:val="24"/>
          <w:szCs w:val="24"/>
        </w:rPr>
      </w:pPr>
      <w:r w:rsidRPr="00546876">
        <w:rPr>
          <w:rFonts w:asciiTheme="minorHAnsi" w:hAnsiTheme="minorHAnsi" w:cstheme="minorHAnsi"/>
          <w:bCs/>
          <w:sz w:val="24"/>
          <w:szCs w:val="24"/>
        </w:rPr>
        <w:tab/>
      </w:r>
      <w:r w:rsidRPr="00546876">
        <w:rPr>
          <w:rFonts w:asciiTheme="minorHAnsi" w:hAnsiTheme="minorHAnsi" w:cstheme="minorHAnsi"/>
          <w:bCs/>
          <w:sz w:val="24"/>
          <w:szCs w:val="24"/>
        </w:rPr>
        <w:tab/>
        <w:t xml:space="preserve">(2) closing lines of </w:t>
      </w:r>
      <w:proofErr w:type="gramStart"/>
      <w:r w:rsidRPr="00546876">
        <w:rPr>
          <w:rFonts w:asciiTheme="minorHAnsi" w:hAnsiTheme="minorHAnsi" w:cstheme="minorHAnsi"/>
          <w:bCs/>
          <w:sz w:val="24"/>
          <w:szCs w:val="24"/>
        </w:rPr>
        <w:t>credit;</w:t>
      </w:r>
      <w:proofErr w:type="gramEnd"/>
    </w:p>
    <w:p w14:paraId="2D823113" w14:textId="77777777" w:rsidR="004A24D5" w:rsidRPr="00546876" w:rsidRDefault="004A24D5" w:rsidP="004A24D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line="240" w:lineRule="auto"/>
        <w:ind w:firstLine="720"/>
        <w:jc w:val="both"/>
        <w:rPr>
          <w:rFonts w:asciiTheme="minorHAnsi" w:hAnsiTheme="minorHAnsi" w:cstheme="minorHAnsi"/>
          <w:bCs/>
          <w:sz w:val="24"/>
          <w:szCs w:val="24"/>
        </w:rPr>
      </w:pPr>
      <w:r w:rsidRPr="00546876">
        <w:rPr>
          <w:rFonts w:asciiTheme="minorHAnsi" w:hAnsiTheme="minorHAnsi" w:cstheme="minorHAnsi"/>
          <w:bCs/>
          <w:sz w:val="24"/>
          <w:szCs w:val="24"/>
        </w:rPr>
        <w:tab/>
        <w:t xml:space="preserve">(3) debt </w:t>
      </w:r>
      <w:proofErr w:type="gramStart"/>
      <w:r w:rsidRPr="00546876">
        <w:rPr>
          <w:rFonts w:asciiTheme="minorHAnsi" w:hAnsiTheme="minorHAnsi" w:cstheme="minorHAnsi"/>
          <w:bCs/>
          <w:sz w:val="24"/>
          <w:szCs w:val="24"/>
        </w:rPr>
        <w:t>restructuring;</w:t>
      </w:r>
      <w:proofErr w:type="gramEnd"/>
    </w:p>
    <w:p w14:paraId="76A18489" w14:textId="77777777" w:rsidR="004A24D5" w:rsidRPr="00546876" w:rsidRDefault="004A24D5" w:rsidP="004A24D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line="240" w:lineRule="auto"/>
        <w:jc w:val="both"/>
        <w:rPr>
          <w:rFonts w:asciiTheme="minorHAnsi" w:hAnsiTheme="minorHAnsi" w:cstheme="minorHAnsi"/>
          <w:bCs/>
          <w:sz w:val="24"/>
          <w:szCs w:val="24"/>
        </w:rPr>
      </w:pPr>
      <w:r w:rsidRPr="00546876">
        <w:rPr>
          <w:rFonts w:asciiTheme="minorHAnsi" w:hAnsiTheme="minorHAnsi" w:cstheme="minorHAnsi"/>
          <w:bCs/>
          <w:sz w:val="24"/>
          <w:szCs w:val="24"/>
        </w:rPr>
        <w:tab/>
      </w:r>
      <w:r w:rsidRPr="00546876">
        <w:rPr>
          <w:rFonts w:asciiTheme="minorHAnsi" w:hAnsiTheme="minorHAnsi" w:cstheme="minorHAnsi"/>
          <w:bCs/>
          <w:sz w:val="24"/>
          <w:szCs w:val="24"/>
        </w:rPr>
        <w:tab/>
        <w:t xml:space="preserve">(4) paying off covenants or avoiding receivership as of the day following </w:t>
      </w:r>
      <w:proofErr w:type="gramStart"/>
      <w:r w:rsidRPr="00546876">
        <w:rPr>
          <w:rFonts w:asciiTheme="minorHAnsi" w:hAnsiTheme="minorHAnsi" w:cstheme="minorHAnsi"/>
          <w:bCs/>
          <w:sz w:val="24"/>
          <w:szCs w:val="24"/>
        </w:rPr>
        <w:t>enactment;</w:t>
      </w:r>
      <w:proofErr w:type="gramEnd"/>
    </w:p>
    <w:p w14:paraId="2D66656B" w14:textId="77777777" w:rsidR="004A24D5" w:rsidRPr="00546876" w:rsidRDefault="004A24D5" w:rsidP="004A24D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line="240" w:lineRule="auto"/>
        <w:jc w:val="both"/>
        <w:rPr>
          <w:rFonts w:asciiTheme="minorHAnsi" w:hAnsiTheme="minorHAnsi" w:cstheme="minorHAnsi"/>
          <w:bCs/>
          <w:sz w:val="24"/>
          <w:szCs w:val="24"/>
        </w:rPr>
      </w:pPr>
      <w:r w:rsidRPr="00546876">
        <w:rPr>
          <w:rFonts w:asciiTheme="minorHAnsi" w:hAnsiTheme="minorHAnsi" w:cstheme="minorHAnsi"/>
          <w:bCs/>
          <w:sz w:val="24"/>
          <w:szCs w:val="24"/>
        </w:rPr>
        <w:tab/>
      </w:r>
      <w:r w:rsidRPr="00546876">
        <w:rPr>
          <w:rFonts w:asciiTheme="minorHAnsi" w:hAnsiTheme="minorHAnsi" w:cstheme="minorHAnsi"/>
          <w:bCs/>
          <w:sz w:val="24"/>
          <w:szCs w:val="24"/>
        </w:rPr>
        <w:tab/>
        <w:t xml:space="preserve">(5) rent payments in arrears as of the day following </w:t>
      </w:r>
      <w:proofErr w:type="gramStart"/>
      <w:r w:rsidRPr="00546876">
        <w:rPr>
          <w:rFonts w:asciiTheme="minorHAnsi" w:hAnsiTheme="minorHAnsi" w:cstheme="minorHAnsi"/>
          <w:bCs/>
          <w:sz w:val="24"/>
          <w:szCs w:val="24"/>
        </w:rPr>
        <w:t>enactment;</w:t>
      </w:r>
      <w:proofErr w:type="gramEnd"/>
    </w:p>
    <w:p w14:paraId="4C4D9835" w14:textId="77777777" w:rsidR="004A24D5" w:rsidRPr="00546876" w:rsidRDefault="004A24D5" w:rsidP="004A24D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line="240" w:lineRule="auto"/>
        <w:jc w:val="both"/>
        <w:rPr>
          <w:rFonts w:asciiTheme="minorHAnsi" w:hAnsiTheme="minorHAnsi" w:cstheme="minorHAnsi"/>
          <w:bCs/>
          <w:sz w:val="24"/>
          <w:szCs w:val="24"/>
        </w:rPr>
      </w:pPr>
      <w:r w:rsidRPr="00546876">
        <w:rPr>
          <w:rFonts w:asciiTheme="minorHAnsi" w:hAnsiTheme="minorHAnsi" w:cstheme="minorHAnsi"/>
          <w:bCs/>
          <w:sz w:val="24"/>
          <w:szCs w:val="24"/>
        </w:rPr>
        <w:tab/>
      </w:r>
      <w:r w:rsidRPr="00546876">
        <w:rPr>
          <w:rFonts w:asciiTheme="minorHAnsi" w:hAnsiTheme="minorHAnsi" w:cstheme="minorHAnsi"/>
          <w:bCs/>
          <w:sz w:val="24"/>
          <w:szCs w:val="24"/>
        </w:rPr>
        <w:tab/>
        <w:t>(6) physical plant improvements and maintenance not claimed for a rate increase; and</w:t>
      </w:r>
    </w:p>
    <w:p w14:paraId="57D4F707" w14:textId="77777777" w:rsidR="004A24D5" w:rsidRPr="00546876" w:rsidRDefault="004A24D5" w:rsidP="004A24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before="0" w:line="240" w:lineRule="auto"/>
        <w:ind w:left="180"/>
        <w:jc w:val="both"/>
        <w:rPr>
          <w:rFonts w:asciiTheme="minorHAnsi" w:hAnsiTheme="minorHAnsi" w:cstheme="minorHAnsi"/>
          <w:bCs/>
          <w:sz w:val="24"/>
          <w:szCs w:val="24"/>
        </w:rPr>
      </w:pPr>
      <w:r w:rsidRPr="00546876">
        <w:rPr>
          <w:rFonts w:asciiTheme="minorHAnsi" w:hAnsiTheme="minorHAnsi" w:cstheme="minorHAnsi"/>
          <w:bCs/>
          <w:sz w:val="24"/>
          <w:szCs w:val="24"/>
        </w:rPr>
        <w:tab/>
      </w:r>
      <w:r w:rsidRPr="00546876">
        <w:rPr>
          <w:rFonts w:asciiTheme="minorHAnsi" w:hAnsiTheme="minorHAnsi" w:cstheme="minorHAnsi"/>
          <w:bCs/>
          <w:sz w:val="24"/>
          <w:szCs w:val="24"/>
        </w:rPr>
        <w:tab/>
        <w:t>(7) any other item deemed allowable by the commissioner.</w:t>
      </w:r>
    </w:p>
    <w:p w14:paraId="2015B637" w14:textId="77777777" w:rsidR="004A24D5" w:rsidRPr="00546876" w:rsidRDefault="004A24D5" w:rsidP="004A24D5">
      <w:pPr>
        <w:widowControl w:val="0"/>
        <w:tabs>
          <w:tab w:val="left" w:pos="9958"/>
        </w:tabs>
        <w:autoSpaceDE w:val="0"/>
        <w:autoSpaceDN w:val="0"/>
        <w:adjustRightInd w:val="0"/>
        <w:spacing w:before="0" w:line="240" w:lineRule="auto"/>
        <w:jc w:val="both"/>
        <w:rPr>
          <w:rFonts w:asciiTheme="minorHAnsi" w:hAnsiTheme="minorHAnsi" w:cstheme="minorHAnsi"/>
          <w:bCs/>
          <w:sz w:val="24"/>
          <w:szCs w:val="24"/>
        </w:rPr>
      </w:pPr>
      <w:r w:rsidRPr="00546876">
        <w:rPr>
          <w:rFonts w:asciiTheme="minorHAnsi" w:hAnsiTheme="minorHAnsi" w:cstheme="minorHAnsi"/>
          <w:bCs/>
          <w:sz w:val="24"/>
          <w:szCs w:val="24"/>
        </w:rPr>
        <w:t xml:space="preserve">Payments for allowable expenses must be paid on or after August 1, 2023.  </w:t>
      </w:r>
    </w:p>
    <w:p w14:paraId="7BFC1A51" w14:textId="0F0F464E" w:rsidR="004A24D5" w:rsidRPr="00546876" w:rsidRDefault="004A24D5" w:rsidP="004A24D5">
      <w:pPr>
        <w:widowControl w:val="0"/>
        <w:tabs>
          <w:tab w:val="left" w:pos="9958"/>
        </w:tabs>
        <w:autoSpaceDE w:val="0"/>
        <w:autoSpaceDN w:val="0"/>
        <w:adjustRightInd w:val="0"/>
        <w:spacing w:before="0" w:line="240" w:lineRule="auto"/>
        <w:jc w:val="both"/>
        <w:rPr>
          <w:rFonts w:asciiTheme="minorHAnsi" w:hAnsiTheme="minorHAnsi" w:cstheme="minorHAnsi"/>
          <w:sz w:val="24"/>
          <w:szCs w:val="24"/>
        </w:rPr>
      </w:pPr>
      <w:r w:rsidRPr="00546876">
        <w:rPr>
          <w:rFonts w:asciiTheme="minorHAnsi" w:hAnsiTheme="minorHAnsi" w:cstheme="minorHAnsi"/>
          <w:sz w:val="24"/>
          <w:szCs w:val="24"/>
        </w:rPr>
        <w:t>Nursing facilities must expend the total payment amount by September 30, 2025.</w:t>
      </w:r>
    </w:p>
    <w:p w14:paraId="5808DD46" w14:textId="671DB672" w:rsidR="00E36BFA" w:rsidRPr="00546876" w:rsidRDefault="00E36BFA" w:rsidP="004A24D5">
      <w:pPr>
        <w:widowControl w:val="0"/>
        <w:tabs>
          <w:tab w:val="left" w:pos="9958"/>
        </w:tabs>
        <w:autoSpaceDE w:val="0"/>
        <w:autoSpaceDN w:val="0"/>
        <w:adjustRightInd w:val="0"/>
        <w:spacing w:before="0" w:line="240" w:lineRule="auto"/>
        <w:jc w:val="both"/>
        <w:rPr>
          <w:rFonts w:asciiTheme="minorHAnsi" w:hAnsiTheme="minorHAnsi" w:cstheme="minorHAnsi"/>
          <w:sz w:val="24"/>
          <w:szCs w:val="24"/>
        </w:rPr>
      </w:pPr>
    </w:p>
    <w:p w14:paraId="4416F112" w14:textId="706FC4D8" w:rsidR="0000766F" w:rsidRPr="00546876" w:rsidRDefault="00E36BFA" w:rsidP="0000766F">
      <w:pPr>
        <w:pStyle w:val="xmsonormal"/>
        <w:rPr>
          <w:sz w:val="24"/>
          <w:szCs w:val="24"/>
        </w:rPr>
      </w:pPr>
      <w:r w:rsidRPr="00546876">
        <w:rPr>
          <w:rFonts w:cstheme="minorHAnsi"/>
          <w:b/>
          <w:bCs/>
          <w:sz w:val="24"/>
          <w:szCs w:val="24"/>
        </w:rPr>
        <w:t xml:space="preserve">Question:  </w:t>
      </w:r>
      <w:r w:rsidR="0000766F" w:rsidRPr="00546876">
        <w:rPr>
          <w:sz w:val="24"/>
          <w:szCs w:val="24"/>
        </w:rPr>
        <w:t>We received a short- term loan from our city to cover the 3</w:t>
      </w:r>
      <w:r w:rsidR="0000766F" w:rsidRPr="00546876">
        <w:rPr>
          <w:sz w:val="24"/>
          <w:szCs w:val="24"/>
          <w:vertAlign w:val="superscript"/>
        </w:rPr>
        <w:t>rd</w:t>
      </w:r>
      <w:r w:rsidR="0000766F" w:rsidRPr="00546876">
        <w:rPr>
          <w:sz w:val="24"/>
          <w:szCs w:val="24"/>
        </w:rPr>
        <w:t xml:space="preserve"> payroll in June. Would we be able to use the funds to pay that back? </w:t>
      </w:r>
    </w:p>
    <w:p w14:paraId="0ADF906D" w14:textId="23DCE27C" w:rsidR="0000766F" w:rsidRPr="00546876" w:rsidRDefault="0000766F" w:rsidP="0000766F">
      <w:pPr>
        <w:pStyle w:val="xmsonormal"/>
        <w:rPr>
          <w:sz w:val="24"/>
          <w:szCs w:val="24"/>
        </w:rPr>
      </w:pPr>
    </w:p>
    <w:p w14:paraId="6BE96777" w14:textId="4F24D6FA" w:rsidR="0000766F" w:rsidRPr="00546876" w:rsidRDefault="0000766F" w:rsidP="0000766F">
      <w:pPr>
        <w:pStyle w:val="xmsonormal"/>
        <w:rPr>
          <w:sz w:val="24"/>
          <w:szCs w:val="24"/>
        </w:rPr>
      </w:pPr>
      <w:r w:rsidRPr="00546876">
        <w:rPr>
          <w:b/>
          <w:bCs/>
          <w:sz w:val="24"/>
          <w:szCs w:val="24"/>
        </w:rPr>
        <w:t xml:space="preserve">Answer:  </w:t>
      </w:r>
      <w:r w:rsidRPr="00546876">
        <w:rPr>
          <w:sz w:val="24"/>
          <w:szCs w:val="24"/>
        </w:rPr>
        <w:t xml:space="preserve">Yes, paying back a short-term loan is an allowable use of the funds.  </w:t>
      </w:r>
    </w:p>
    <w:p w14:paraId="2B20D11B" w14:textId="3110CDC6" w:rsidR="006972B9" w:rsidRPr="00546876" w:rsidRDefault="0000766F" w:rsidP="006972B9">
      <w:pPr>
        <w:pStyle w:val="BodyText"/>
        <w:rPr>
          <w:sz w:val="24"/>
          <w:szCs w:val="24"/>
        </w:rPr>
      </w:pPr>
      <w:r w:rsidRPr="00546876">
        <w:rPr>
          <w:rFonts w:cstheme="minorHAnsi"/>
          <w:b/>
          <w:bCs/>
          <w:sz w:val="24"/>
          <w:szCs w:val="24"/>
        </w:rPr>
        <w:t xml:space="preserve">Question:  </w:t>
      </w:r>
      <w:r w:rsidRPr="00546876">
        <w:rPr>
          <w:sz w:val="24"/>
          <w:szCs w:val="24"/>
        </w:rPr>
        <w:t>What does the licensed beds must remain “active” mean?</w:t>
      </w:r>
    </w:p>
    <w:p w14:paraId="6CB2EE48" w14:textId="07D3A488" w:rsidR="0000766F" w:rsidRPr="00546876" w:rsidRDefault="0000766F" w:rsidP="006972B9">
      <w:pPr>
        <w:pStyle w:val="BodyText"/>
        <w:rPr>
          <w:sz w:val="24"/>
          <w:szCs w:val="24"/>
        </w:rPr>
      </w:pPr>
      <w:r w:rsidRPr="00546876">
        <w:rPr>
          <w:b/>
          <w:bCs/>
          <w:sz w:val="24"/>
          <w:szCs w:val="24"/>
        </w:rPr>
        <w:t xml:space="preserve">Answer:  </w:t>
      </w:r>
      <w:r w:rsidRPr="00546876">
        <w:rPr>
          <w:sz w:val="24"/>
          <w:szCs w:val="24"/>
        </w:rPr>
        <w:t xml:space="preserve">The amount of total payment each nursing facility receives is based on active beds as of May 12, 2023.  Active beds </w:t>
      </w:r>
      <w:proofErr w:type="gramStart"/>
      <w:r w:rsidRPr="00546876">
        <w:rPr>
          <w:sz w:val="24"/>
          <w:szCs w:val="24"/>
        </w:rPr>
        <w:t>means</w:t>
      </w:r>
      <w:proofErr w:type="gramEnd"/>
      <w:r w:rsidRPr="00546876">
        <w:rPr>
          <w:sz w:val="24"/>
          <w:szCs w:val="24"/>
        </w:rPr>
        <w:t xml:space="preserve"> those beds that are not in lay</w:t>
      </w:r>
      <w:r w:rsidR="00F82A11" w:rsidRPr="00546876">
        <w:rPr>
          <w:sz w:val="24"/>
          <w:szCs w:val="24"/>
        </w:rPr>
        <w:t>a</w:t>
      </w:r>
      <w:r w:rsidRPr="00546876">
        <w:rPr>
          <w:sz w:val="24"/>
          <w:szCs w:val="24"/>
        </w:rPr>
        <w:t xml:space="preserve">way or have been closed as of May 12, 2023.  It is not required those beds stay in active status after this date.  A change in bed status will not impact the second half of the payment in August 2024.  </w:t>
      </w:r>
    </w:p>
    <w:p w14:paraId="4970B3A3" w14:textId="17FE3CDD" w:rsidR="0000766F" w:rsidRPr="00546876" w:rsidRDefault="0000766F" w:rsidP="0000766F">
      <w:pPr>
        <w:rPr>
          <w:sz w:val="24"/>
          <w:szCs w:val="24"/>
        </w:rPr>
      </w:pPr>
      <w:r w:rsidRPr="00546876">
        <w:rPr>
          <w:b/>
          <w:bCs/>
          <w:sz w:val="24"/>
          <w:szCs w:val="24"/>
        </w:rPr>
        <w:t xml:space="preserve">Question:  </w:t>
      </w:r>
      <w:r w:rsidRPr="00546876">
        <w:rPr>
          <w:sz w:val="24"/>
          <w:szCs w:val="24"/>
        </w:rPr>
        <w:t>Will payments on any existing lines of credit</w:t>
      </w:r>
      <w:r w:rsidR="00F82A11" w:rsidRPr="00546876">
        <w:rPr>
          <w:sz w:val="24"/>
          <w:szCs w:val="24"/>
        </w:rPr>
        <w:t xml:space="preserve"> (LOC)</w:t>
      </w:r>
      <w:r w:rsidRPr="00546876">
        <w:rPr>
          <w:sz w:val="24"/>
          <w:szCs w:val="24"/>
        </w:rPr>
        <w:t xml:space="preserve">, or lines of credit used prior to the September 2025 use of funds deadline, be allowable use of funds regardless of the underlying expenses the LOC was incurred for? Or will additional detail on the underlying expenditures the LOC was used for </w:t>
      </w:r>
      <w:proofErr w:type="gramStart"/>
      <w:r w:rsidRPr="00546876">
        <w:rPr>
          <w:sz w:val="24"/>
          <w:szCs w:val="24"/>
        </w:rPr>
        <w:t>need</w:t>
      </w:r>
      <w:proofErr w:type="gramEnd"/>
      <w:r w:rsidRPr="00546876">
        <w:rPr>
          <w:sz w:val="24"/>
          <w:szCs w:val="24"/>
        </w:rPr>
        <w:t xml:space="preserve"> to be reported or considered to determine if the use was allowable?</w:t>
      </w:r>
    </w:p>
    <w:p w14:paraId="48708FDD" w14:textId="4FB8046B" w:rsidR="0000766F" w:rsidRPr="00546876" w:rsidRDefault="0000766F" w:rsidP="006972B9">
      <w:pPr>
        <w:pStyle w:val="BodyText"/>
        <w:rPr>
          <w:rFonts w:cstheme="minorHAnsi"/>
          <w:sz w:val="24"/>
          <w:szCs w:val="24"/>
        </w:rPr>
      </w:pPr>
      <w:r w:rsidRPr="00546876">
        <w:rPr>
          <w:rFonts w:cstheme="minorHAnsi"/>
          <w:b/>
          <w:bCs/>
          <w:sz w:val="24"/>
          <w:szCs w:val="24"/>
        </w:rPr>
        <w:t xml:space="preserve">Answer:  </w:t>
      </w:r>
      <w:r w:rsidR="00293DB0" w:rsidRPr="00546876">
        <w:rPr>
          <w:rFonts w:cstheme="minorHAnsi"/>
          <w:sz w:val="24"/>
          <w:szCs w:val="24"/>
        </w:rPr>
        <w:t xml:space="preserve">Payments on any existing lines of credit or lines of credit used prior to the September 2025 use of funds deadline are an allowable use of the funds.  </w:t>
      </w:r>
      <w:r w:rsidR="003C0187" w:rsidRPr="00546876">
        <w:rPr>
          <w:rFonts w:cstheme="minorHAnsi"/>
          <w:sz w:val="24"/>
          <w:szCs w:val="24"/>
        </w:rPr>
        <w:t xml:space="preserve">However, if an organization has a shared line of credit with non-nursing home operations, details on the allocation of the nursing home portion will </w:t>
      </w:r>
      <w:r w:rsidR="003C0187" w:rsidRPr="00546876">
        <w:rPr>
          <w:rFonts w:cstheme="minorHAnsi"/>
          <w:sz w:val="24"/>
          <w:szCs w:val="24"/>
        </w:rPr>
        <w:lastRenderedPageBreak/>
        <w:t xml:space="preserve">be required.  </w:t>
      </w:r>
      <w:r w:rsidR="00293DB0" w:rsidRPr="00546876">
        <w:rPr>
          <w:rFonts w:cstheme="minorHAnsi"/>
          <w:sz w:val="24"/>
          <w:szCs w:val="24"/>
        </w:rPr>
        <w:t xml:space="preserve">Details on the underlying expenditures the line of credit was used for will not be required reporting.  </w:t>
      </w:r>
    </w:p>
    <w:p w14:paraId="44990FFE" w14:textId="12A2C171" w:rsidR="00293DB0" w:rsidRPr="00546876" w:rsidRDefault="00293DB0" w:rsidP="00293DB0">
      <w:pPr>
        <w:rPr>
          <w:sz w:val="24"/>
          <w:szCs w:val="24"/>
        </w:rPr>
      </w:pPr>
      <w:r w:rsidRPr="00546876">
        <w:rPr>
          <w:rFonts w:cstheme="minorHAnsi"/>
          <w:b/>
          <w:bCs/>
          <w:sz w:val="24"/>
          <w:szCs w:val="24"/>
        </w:rPr>
        <w:t xml:space="preserve">Question:  </w:t>
      </w:r>
      <w:r w:rsidRPr="00546876">
        <w:rPr>
          <w:sz w:val="24"/>
          <w:szCs w:val="24"/>
        </w:rPr>
        <w:t>What happens if a nursing home is sold before the period of use of the funds ends?  Is the new owner responsible for reporting on the use of all funds received?  Is the new owner eligible for the second payment if the sale happens before next 8/1?</w:t>
      </w:r>
    </w:p>
    <w:p w14:paraId="08E3BA36" w14:textId="455173B6" w:rsidR="00293DB0" w:rsidRPr="00546876" w:rsidRDefault="00293DB0" w:rsidP="00293DB0">
      <w:pPr>
        <w:rPr>
          <w:sz w:val="24"/>
          <w:szCs w:val="24"/>
        </w:rPr>
      </w:pPr>
      <w:r w:rsidRPr="00546876">
        <w:rPr>
          <w:b/>
          <w:bCs/>
          <w:sz w:val="24"/>
          <w:szCs w:val="24"/>
        </w:rPr>
        <w:t xml:space="preserve">Answer:  </w:t>
      </w:r>
      <w:r w:rsidR="00321812" w:rsidRPr="00546876">
        <w:rPr>
          <w:sz w:val="24"/>
          <w:szCs w:val="24"/>
        </w:rPr>
        <w:t xml:space="preserve">Per the APS contract, sale of a nursing home requires a 30-day notice be reported to DHS, attention David C. Hill.  See Sections 9 and 10 of your APS </w:t>
      </w:r>
      <w:proofErr w:type="gramStart"/>
      <w:r w:rsidR="00321812" w:rsidRPr="00546876">
        <w:rPr>
          <w:sz w:val="24"/>
          <w:szCs w:val="24"/>
        </w:rPr>
        <w:t>contract</w:t>
      </w:r>
      <w:proofErr w:type="gramEnd"/>
      <w:r w:rsidR="00321812" w:rsidRPr="00546876">
        <w:rPr>
          <w:sz w:val="24"/>
          <w:szCs w:val="24"/>
        </w:rPr>
        <w:t xml:space="preserve">.  Section 14: Assignment. prohibits the facility from assigning or transferring any rights or obligations under the contract without prior consent of the State.  A new APS contract must be put in place with the new owner.   If you plan to sell your facility, you should notify DHS and report uses of the funds up to the closing date of the sale.  If there are funds remaining, this should be addressed in your Transfer of Operations agreement with the purchaser.  Unused funds distributed on August 1, </w:t>
      </w:r>
      <w:r w:rsidR="00532108" w:rsidRPr="00546876">
        <w:rPr>
          <w:sz w:val="24"/>
          <w:szCs w:val="24"/>
        </w:rPr>
        <w:t>2023,</w:t>
      </w:r>
      <w:r w:rsidR="00321812" w:rsidRPr="00546876">
        <w:rPr>
          <w:sz w:val="24"/>
          <w:szCs w:val="24"/>
        </w:rPr>
        <w:t xml:space="preserve"> but prior to the closing date of the sale can be either returned to the state or if transferred to a new owner, the new owner will be responsible for reporting allowable uses of funds remaining.  The second distribution in August 2024 will be distributed to the new owner and the new owner will have the obligation to report allowable uses of the funds.    </w:t>
      </w:r>
    </w:p>
    <w:p w14:paraId="438AD610" w14:textId="5D5112D3" w:rsidR="009E197E" w:rsidRPr="00546876" w:rsidRDefault="009E197E" w:rsidP="009E197E">
      <w:pPr>
        <w:spacing w:before="0" w:line="240" w:lineRule="auto"/>
        <w:rPr>
          <w:sz w:val="24"/>
          <w:szCs w:val="24"/>
        </w:rPr>
      </w:pPr>
      <w:r w:rsidRPr="00546876">
        <w:rPr>
          <w:rFonts w:cstheme="minorHAnsi"/>
          <w:b/>
          <w:bCs/>
          <w:sz w:val="24"/>
          <w:szCs w:val="24"/>
        </w:rPr>
        <w:t>Question:</w:t>
      </w:r>
      <w:r w:rsidRPr="00546876">
        <w:rPr>
          <w:rFonts w:cstheme="minorHAnsi"/>
          <w:sz w:val="24"/>
          <w:szCs w:val="24"/>
        </w:rPr>
        <w:t xml:space="preserve">  </w:t>
      </w:r>
      <w:r w:rsidRPr="00546876">
        <w:rPr>
          <w:sz w:val="24"/>
          <w:szCs w:val="24"/>
        </w:rPr>
        <w:t>Can you use the funds for non-cash payments to employees?  Examples would be scrubs, gift baskets, basically items that you would not include on their pay earnings.</w:t>
      </w:r>
    </w:p>
    <w:p w14:paraId="0A4C02A5" w14:textId="210E2D30" w:rsidR="009E197E" w:rsidRPr="00546876" w:rsidRDefault="009E197E" w:rsidP="009E197E">
      <w:pPr>
        <w:spacing w:before="0" w:line="240" w:lineRule="auto"/>
        <w:rPr>
          <w:sz w:val="24"/>
          <w:szCs w:val="24"/>
        </w:rPr>
      </w:pPr>
    </w:p>
    <w:p w14:paraId="37E85B96" w14:textId="7BF2F21C" w:rsidR="009E197E" w:rsidRPr="00546876" w:rsidRDefault="009E197E" w:rsidP="009E197E">
      <w:pPr>
        <w:spacing w:before="0" w:line="240" w:lineRule="auto"/>
        <w:rPr>
          <w:sz w:val="24"/>
          <w:szCs w:val="24"/>
        </w:rPr>
      </w:pPr>
      <w:r w:rsidRPr="00546876">
        <w:rPr>
          <w:b/>
          <w:bCs/>
          <w:sz w:val="24"/>
          <w:szCs w:val="24"/>
        </w:rPr>
        <w:t>Answer:</w:t>
      </w:r>
      <w:r w:rsidRPr="00546876">
        <w:rPr>
          <w:sz w:val="24"/>
          <w:szCs w:val="24"/>
        </w:rPr>
        <w:t xml:space="preserve">   No, non-cash payments such as gifts to employees are not an allowable use of the</w:t>
      </w:r>
      <w:r w:rsidR="005F6C38" w:rsidRPr="00546876">
        <w:rPr>
          <w:sz w:val="24"/>
          <w:szCs w:val="24"/>
        </w:rPr>
        <w:t>se</w:t>
      </w:r>
      <w:r w:rsidRPr="00546876">
        <w:rPr>
          <w:sz w:val="24"/>
          <w:szCs w:val="24"/>
        </w:rPr>
        <w:t xml:space="preserve"> funds.  </w:t>
      </w:r>
    </w:p>
    <w:p w14:paraId="3A634BAF" w14:textId="28658FB3" w:rsidR="00293DB0" w:rsidRPr="00546876" w:rsidRDefault="007928B4" w:rsidP="006972B9">
      <w:pPr>
        <w:pStyle w:val="BodyText"/>
        <w:rPr>
          <w:rFonts w:cstheme="minorHAnsi"/>
          <w:sz w:val="24"/>
          <w:szCs w:val="24"/>
        </w:rPr>
      </w:pPr>
      <w:r w:rsidRPr="00546876">
        <w:rPr>
          <w:rFonts w:cstheme="minorHAnsi"/>
          <w:b/>
          <w:bCs/>
          <w:sz w:val="24"/>
          <w:szCs w:val="24"/>
        </w:rPr>
        <w:t>Question</w:t>
      </w:r>
      <w:r w:rsidRPr="00546876">
        <w:rPr>
          <w:rFonts w:cstheme="minorHAnsi"/>
          <w:sz w:val="24"/>
          <w:szCs w:val="24"/>
        </w:rPr>
        <w:t xml:space="preserve">:  Is a repair to our air conditioner an allowable use of the funds?  We estimate the cost to be $50,000.  </w:t>
      </w:r>
    </w:p>
    <w:p w14:paraId="5B469E11" w14:textId="16FBDE23" w:rsidR="007928B4" w:rsidRPr="00546876" w:rsidRDefault="007928B4" w:rsidP="006972B9">
      <w:pPr>
        <w:pStyle w:val="BodyText"/>
        <w:rPr>
          <w:rFonts w:cstheme="minorHAnsi"/>
          <w:sz w:val="24"/>
          <w:szCs w:val="24"/>
        </w:rPr>
      </w:pPr>
      <w:r w:rsidRPr="00546876">
        <w:rPr>
          <w:rFonts w:cstheme="minorHAnsi"/>
          <w:b/>
          <w:bCs/>
          <w:sz w:val="24"/>
          <w:szCs w:val="24"/>
        </w:rPr>
        <w:t>Answer:</w:t>
      </w:r>
      <w:r w:rsidRPr="00546876">
        <w:rPr>
          <w:rFonts w:cstheme="minorHAnsi"/>
          <w:sz w:val="24"/>
          <w:szCs w:val="24"/>
        </w:rPr>
        <w:t xml:space="preserve">  Yes, physical plant improvements and maintenance not claimed for a rate increase are allowable.  Equipment repairs are reported on the cost report as maintenance and included in the “price” component of the rate.  An individual facility incurring a repair expense would not receive a rate increase</w:t>
      </w:r>
      <w:r w:rsidR="00E852DA" w:rsidRPr="00546876">
        <w:rPr>
          <w:rFonts w:cstheme="minorHAnsi"/>
          <w:sz w:val="24"/>
          <w:szCs w:val="24"/>
        </w:rPr>
        <w:t>.</w:t>
      </w:r>
      <w:r w:rsidR="00ED72BB" w:rsidRPr="00546876">
        <w:rPr>
          <w:rFonts w:cstheme="minorHAnsi"/>
          <w:sz w:val="24"/>
          <w:szCs w:val="24"/>
        </w:rPr>
        <w:t xml:space="preserve">  A major repair above your facility’s capitalization policy should be reported on line 1366, Assets section of the cost report.  </w:t>
      </w:r>
      <w:r w:rsidRPr="00546876">
        <w:rPr>
          <w:rFonts w:cstheme="minorHAnsi"/>
          <w:sz w:val="24"/>
          <w:szCs w:val="24"/>
        </w:rPr>
        <w:t xml:space="preserve">However, please note if you submit a building project requesting a property rate increase, any repairs already paid for out of these funds cannot be submitted again for a property rate increase.  </w:t>
      </w:r>
    </w:p>
    <w:p w14:paraId="63133CE7" w14:textId="0B5ECE8C" w:rsidR="00E36BFA" w:rsidRPr="00546876" w:rsidRDefault="00E852DA" w:rsidP="006972B9">
      <w:pPr>
        <w:pStyle w:val="BodyText"/>
        <w:rPr>
          <w:rFonts w:cstheme="minorHAnsi"/>
          <w:sz w:val="24"/>
          <w:szCs w:val="24"/>
        </w:rPr>
      </w:pPr>
      <w:r w:rsidRPr="00546876">
        <w:rPr>
          <w:rFonts w:cstheme="minorHAnsi"/>
          <w:b/>
          <w:bCs/>
          <w:sz w:val="24"/>
          <w:szCs w:val="24"/>
        </w:rPr>
        <w:t xml:space="preserve">Question:  </w:t>
      </w:r>
      <w:r w:rsidRPr="00546876">
        <w:rPr>
          <w:rFonts w:cstheme="minorHAnsi"/>
          <w:sz w:val="24"/>
          <w:szCs w:val="24"/>
        </w:rPr>
        <w:t xml:space="preserve">We have a bill in arrears to an accounting firm that assisted us with an Employee Retention Credit application.  Can we use the funds to pay for this service?  </w:t>
      </w:r>
    </w:p>
    <w:p w14:paraId="4F267832" w14:textId="40BA055B" w:rsidR="00E852DA" w:rsidRPr="00546876" w:rsidRDefault="00E852DA" w:rsidP="006972B9">
      <w:pPr>
        <w:pStyle w:val="BodyText"/>
        <w:rPr>
          <w:rFonts w:cstheme="minorHAnsi"/>
          <w:sz w:val="24"/>
          <w:szCs w:val="24"/>
        </w:rPr>
      </w:pPr>
      <w:r w:rsidRPr="00546876">
        <w:rPr>
          <w:rFonts w:cstheme="minorHAnsi"/>
          <w:b/>
          <w:bCs/>
          <w:sz w:val="24"/>
          <w:szCs w:val="24"/>
        </w:rPr>
        <w:t xml:space="preserve">Answer:  </w:t>
      </w:r>
      <w:r w:rsidRPr="00546876">
        <w:rPr>
          <w:rFonts w:cstheme="minorHAnsi"/>
          <w:sz w:val="24"/>
          <w:szCs w:val="24"/>
        </w:rPr>
        <w:t xml:space="preserve">No, the authorizing legislation does not allow for using the funds for bills in arrears for professional services.  A debt owed to an accounting firm would not be considered an operating or property-related long-term debt payment.  </w:t>
      </w:r>
    </w:p>
    <w:p w14:paraId="049404A9" w14:textId="4584A80D" w:rsidR="00B5200F" w:rsidRPr="00546876" w:rsidRDefault="00B5200F" w:rsidP="00B5200F">
      <w:pPr>
        <w:rPr>
          <w:sz w:val="24"/>
          <w:szCs w:val="24"/>
        </w:rPr>
      </w:pPr>
      <w:r w:rsidRPr="00546876">
        <w:rPr>
          <w:rFonts w:cstheme="minorHAnsi"/>
          <w:b/>
          <w:bCs/>
          <w:sz w:val="24"/>
          <w:szCs w:val="24"/>
        </w:rPr>
        <w:t xml:space="preserve">Question:  </w:t>
      </w:r>
      <w:r w:rsidRPr="00546876">
        <w:rPr>
          <w:sz w:val="24"/>
          <w:szCs w:val="24"/>
        </w:rPr>
        <w:t>When does debt have to be established to be eligible?  Does the debt have to exist prior to this August 1 to be eligible?</w:t>
      </w:r>
    </w:p>
    <w:p w14:paraId="5F5AA18F" w14:textId="62BF34B9" w:rsidR="005F6C38" w:rsidRPr="008F35C2" w:rsidRDefault="00B5200F" w:rsidP="005F6C38">
      <w:pPr>
        <w:pStyle w:val="BodyText"/>
        <w:spacing w:before="0" w:after="0"/>
        <w:rPr>
          <w:rFonts w:cstheme="minorHAnsi"/>
          <w:sz w:val="24"/>
          <w:szCs w:val="24"/>
        </w:rPr>
      </w:pPr>
      <w:r w:rsidRPr="008F35C2">
        <w:rPr>
          <w:rFonts w:cstheme="minorHAnsi"/>
          <w:b/>
          <w:bCs/>
          <w:sz w:val="24"/>
          <w:szCs w:val="24"/>
        </w:rPr>
        <w:lastRenderedPageBreak/>
        <w:t>Answer:</w:t>
      </w:r>
      <w:r w:rsidRPr="008F35C2">
        <w:rPr>
          <w:rFonts w:cstheme="minorHAnsi"/>
          <w:sz w:val="24"/>
          <w:szCs w:val="24"/>
        </w:rPr>
        <w:t xml:space="preserve">  No, a debt does not have to be established prior to August 1</w:t>
      </w:r>
      <w:r w:rsidRPr="008F35C2">
        <w:rPr>
          <w:rFonts w:cstheme="minorHAnsi"/>
          <w:sz w:val="24"/>
          <w:szCs w:val="24"/>
          <w:vertAlign w:val="superscript"/>
        </w:rPr>
        <w:t>st</w:t>
      </w:r>
      <w:r w:rsidRPr="008F35C2">
        <w:rPr>
          <w:rFonts w:cstheme="minorHAnsi"/>
          <w:sz w:val="24"/>
          <w:szCs w:val="24"/>
        </w:rPr>
        <w:t xml:space="preserve"> to be eligible </w:t>
      </w:r>
      <w:r w:rsidR="005F6C38" w:rsidRPr="008F35C2">
        <w:rPr>
          <w:rFonts w:cstheme="minorHAnsi"/>
          <w:sz w:val="24"/>
          <w:szCs w:val="24"/>
        </w:rPr>
        <w:t>if</w:t>
      </w:r>
      <w:r w:rsidRPr="008F35C2">
        <w:rPr>
          <w:rFonts w:cstheme="minorHAnsi"/>
          <w:sz w:val="24"/>
          <w:szCs w:val="24"/>
        </w:rPr>
        <w:t xml:space="preserve"> it is an </w:t>
      </w:r>
      <w:r w:rsidRPr="008F35C2">
        <w:rPr>
          <w:rFonts w:cstheme="minorHAnsi"/>
          <w:sz w:val="24"/>
          <w:szCs w:val="24"/>
          <w:u w:val="single"/>
        </w:rPr>
        <w:t xml:space="preserve">eligible </w:t>
      </w:r>
      <w:r w:rsidRPr="008F35C2">
        <w:rPr>
          <w:rFonts w:cstheme="minorHAnsi"/>
          <w:sz w:val="24"/>
          <w:szCs w:val="24"/>
        </w:rPr>
        <w:t>form of debt</w:t>
      </w:r>
      <w:r w:rsidR="00E21E7D" w:rsidRPr="008F35C2">
        <w:rPr>
          <w:rFonts w:cstheme="minorHAnsi"/>
          <w:sz w:val="24"/>
          <w:szCs w:val="24"/>
        </w:rPr>
        <w:t xml:space="preserve"> such as a lease or mortgage payment</w:t>
      </w:r>
      <w:r w:rsidRPr="008F35C2">
        <w:rPr>
          <w:rFonts w:cstheme="minorHAnsi"/>
          <w:sz w:val="24"/>
          <w:szCs w:val="24"/>
        </w:rPr>
        <w:t xml:space="preserve">. </w:t>
      </w:r>
      <w:r w:rsidR="00A26E3D" w:rsidRPr="008F35C2">
        <w:rPr>
          <w:rFonts w:cstheme="minorHAnsi"/>
          <w:sz w:val="24"/>
          <w:szCs w:val="24"/>
        </w:rPr>
        <w:t xml:space="preserve">This means a debt payment will not have a rate impact.  For example, if money is owed to a vendor for services or supplies that does have a rate impact, that is not an allowable use of funds.  </w:t>
      </w:r>
      <w:r w:rsidR="00E21E7D" w:rsidRPr="008F35C2">
        <w:rPr>
          <w:rFonts w:cstheme="minorHAnsi"/>
          <w:sz w:val="24"/>
          <w:szCs w:val="24"/>
        </w:rPr>
        <w:t xml:space="preserve"> </w:t>
      </w:r>
      <w:r w:rsidR="00A26E3D" w:rsidRPr="008F35C2">
        <w:rPr>
          <w:rFonts w:cstheme="minorHAnsi"/>
          <w:sz w:val="24"/>
          <w:szCs w:val="24"/>
        </w:rPr>
        <w:t xml:space="preserve">A reminder however, loan payments or a lease payment to a related </w:t>
      </w:r>
      <w:r w:rsidR="006A57F9" w:rsidRPr="008F35C2">
        <w:rPr>
          <w:rFonts w:cstheme="minorHAnsi"/>
          <w:sz w:val="24"/>
          <w:szCs w:val="24"/>
        </w:rPr>
        <w:t>organization</w:t>
      </w:r>
      <w:r w:rsidR="00A26E3D" w:rsidRPr="008F35C2">
        <w:rPr>
          <w:rFonts w:cstheme="minorHAnsi"/>
          <w:sz w:val="24"/>
          <w:szCs w:val="24"/>
        </w:rPr>
        <w:t xml:space="preserve"> are not an allowable use of the</w:t>
      </w:r>
      <w:r w:rsidR="00B04E44" w:rsidRPr="008F35C2">
        <w:rPr>
          <w:rFonts w:cstheme="minorHAnsi"/>
          <w:sz w:val="24"/>
          <w:szCs w:val="24"/>
        </w:rPr>
        <w:t xml:space="preserve">se funds. See Sec.2, Subd. 4 of the authorizing statute here </w:t>
      </w:r>
      <w:hyperlink r:id="rId11" w:history="1">
        <w:r w:rsidR="00B04E44" w:rsidRPr="008F35C2">
          <w:rPr>
            <w:rStyle w:val="Hyperlink"/>
            <w:rFonts w:cstheme="minorHAnsi"/>
            <w:sz w:val="24"/>
            <w:szCs w:val="24"/>
          </w:rPr>
          <w:t>https://www.revisor.mn.gov/laws/2023/0/Session+Law/Chapter/74/</w:t>
        </w:r>
      </w:hyperlink>
      <w:r w:rsidR="005F6C38" w:rsidRPr="008F35C2">
        <w:rPr>
          <w:rFonts w:cstheme="minorHAnsi"/>
          <w:sz w:val="24"/>
          <w:szCs w:val="24"/>
        </w:rPr>
        <w:t xml:space="preserve">  </w:t>
      </w:r>
      <w:r w:rsidR="00B04E44" w:rsidRPr="008F35C2">
        <w:rPr>
          <w:rFonts w:cstheme="minorHAnsi"/>
          <w:sz w:val="24"/>
          <w:szCs w:val="24"/>
        </w:rPr>
        <w:t>Detailed documentation of the third-party costs related to the loan or lease will have to be provided.</w:t>
      </w:r>
    </w:p>
    <w:p w14:paraId="3B6C4A3A" w14:textId="33AB99D8" w:rsidR="00E852DA" w:rsidRPr="00546876" w:rsidRDefault="006A57F9" w:rsidP="005F6C38">
      <w:pPr>
        <w:pStyle w:val="BodyText"/>
        <w:spacing w:before="0" w:after="0"/>
        <w:rPr>
          <w:rFonts w:cstheme="minorHAnsi"/>
          <w:sz w:val="24"/>
          <w:szCs w:val="24"/>
        </w:rPr>
      </w:pPr>
      <w:r w:rsidRPr="008F35C2">
        <w:rPr>
          <w:rFonts w:cstheme="minorHAnsi"/>
          <w:sz w:val="24"/>
          <w:szCs w:val="24"/>
        </w:rPr>
        <w:t xml:space="preserve"> See </w:t>
      </w:r>
      <w:r w:rsidR="005F6C38" w:rsidRPr="008F35C2">
        <w:rPr>
          <w:rFonts w:cstheme="minorHAnsi"/>
          <w:sz w:val="24"/>
          <w:szCs w:val="24"/>
        </w:rPr>
        <w:t xml:space="preserve">also </w:t>
      </w:r>
      <w:r w:rsidRPr="008F35C2">
        <w:rPr>
          <w:rFonts w:cstheme="minorHAnsi"/>
          <w:sz w:val="24"/>
          <w:szCs w:val="24"/>
        </w:rPr>
        <w:t xml:space="preserve">MN statute for definition of a related organization.  </w:t>
      </w:r>
      <w:hyperlink r:id="rId12" w:anchor="stat.256R.02.43" w:history="1">
        <w:r w:rsidRPr="008F35C2">
          <w:rPr>
            <w:rStyle w:val="Hyperlink"/>
            <w:rFonts w:cstheme="minorHAnsi"/>
            <w:sz w:val="24"/>
            <w:szCs w:val="24"/>
          </w:rPr>
          <w:t>https://www.revisor.mn.gov/statutes/cite/256R.02#stat.256R.02.43</w:t>
        </w:r>
      </w:hyperlink>
      <w:r w:rsidRPr="00546876">
        <w:rPr>
          <w:rFonts w:cstheme="minorHAnsi"/>
          <w:sz w:val="24"/>
          <w:szCs w:val="24"/>
        </w:rPr>
        <w:t xml:space="preserve"> </w:t>
      </w:r>
      <w:r w:rsidR="00A26E3D" w:rsidRPr="00546876">
        <w:rPr>
          <w:rFonts w:cstheme="minorHAnsi"/>
          <w:sz w:val="24"/>
          <w:szCs w:val="24"/>
        </w:rPr>
        <w:t xml:space="preserve"> </w:t>
      </w:r>
      <w:r w:rsidR="00E21E7D" w:rsidRPr="00546876">
        <w:rPr>
          <w:rFonts w:cstheme="minorHAnsi"/>
          <w:sz w:val="24"/>
          <w:szCs w:val="24"/>
        </w:rPr>
        <w:t xml:space="preserve"> </w:t>
      </w:r>
    </w:p>
    <w:p w14:paraId="5137866B" w14:textId="5939D327" w:rsidR="00B5200F" w:rsidRPr="00546876" w:rsidRDefault="00B5200F" w:rsidP="00B5200F">
      <w:pPr>
        <w:rPr>
          <w:sz w:val="24"/>
          <w:szCs w:val="24"/>
        </w:rPr>
      </w:pPr>
      <w:r w:rsidRPr="00546876">
        <w:rPr>
          <w:rFonts w:cstheme="minorHAnsi"/>
          <w:b/>
          <w:bCs/>
          <w:sz w:val="24"/>
          <w:szCs w:val="24"/>
        </w:rPr>
        <w:t xml:space="preserve">Question:  </w:t>
      </w:r>
      <w:r w:rsidRPr="00546876">
        <w:rPr>
          <w:rFonts w:cstheme="minorHAnsi"/>
          <w:sz w:val="24"/>
          <w:szCs w:val="24"/>
        </w:rPr>
        <w:t>I found this previously answered question about what qualifies as long-term debt confusing</w:t>
      </w:r>
      <w:r w:rsidRPr="00546876">
        <w:rPr>
          <w:rFonts w:cstheme="minorHAnsi"/>
          <w:i/>
          <w:iCs/>
          <w:sz w:val="24"/>
          <w:szCs w:val="24"/>
        </w:rPr>
        <w:t>.</w:t>
      </w:r>
      <w:r w:rsidRPr="00546876">
        <w:rPr>
          <w:rFonts w:cstheme="minorHAnsi"/>
          <w:b/>
          <w:bCs/>
          <w:i/>
          <w:iCs/>
          <w:sz w:val="24"/>
          <w:szCs w:val="24"/>
        </w:rPr>
        <w:t xml:space="preserve">  </w:t>
      </w:r>
      <w:r w:rsidRPr="00546876">
        <w:rPr>
          <w:i/>
          <w:iCs/>
          <w:sz w:val="24"/>
          <w:szCs w:val="24"/>
        </w:rPr>
        <w:t xml:space="preserve">In accounting, long-term debt generally refers to a company's loans and other liabilities that will not become due within one year of the balance sheet date. (The amount that will be due within one year is reported on the balance sheet as a current liability.)  </w:t>
      </w:r>
      <w:r w:rsidRPr="00546876">
        <w:rPr>
          <w:sz w:val="24"/>
          <w:szCs w:val="24"/>
        </w:rPr>
        <w:t xml:space="preserve">I just want to confirm that regularly scheduled payments on a long-term debt instrument like a mortgage are an allowable use of the funds.  </w:t>
      </w:r>
    </w:p>
    <w:p w14:paraId="09F171B3" w14:textId="5302330C" w:rsidR="00B5200F" w:rsidRPr="00546876" w:rsidRDefault="00B5200F" w:rsidP="00B5200F">
      <w:pPr>
        <w:rPr>
          <w:sz w:val="24"/>
          <w:szCs w:val="24"/>
        </w:rPr>
      </w:pPr>
      <w:r w:rsidRPr="00546876">
        <w:rPr>
          <w:b/>
          <w:bCs/>
          <w:sz w:val="24"/>
          <w:szCs w:val="24"/>
        </w:rPr>
        <w:t xml:space="preserve">Answer:  </w:t>
      </w:r>
      <w:r w:rsidRPr="00546876">
        <w:rPr>
          <w:sz w:val="24"/>
          <w:szCs w:val="24"/>
        </w:rPr>
        <w:t xml:space="preserve">Yes, regularly scheduled mortgage payments </w:t>
      </w:r>
      <w:r w:rsidR="00D86B36" w:rsidRPr="00546876">
        <w:rPr>
          <w:sz w:val="24"/>
          <w:szCs w:val="24"/>
        </w:rPr>
        <w:t>for the nursing facility is</w:t>
      </w:r>
      <w:r w:rsidRPr="00546876">
        <w:rPr>
          <w:sz w:val="24"/>
          <w:szCs w:val="24"/>
        </w:rPr>
        <w:t xml:space="preserve"> an allowable use of the funds.  </w:t>
      </w:r>
    </w:p>
    <w:p w14:paraId="0DF2B99D" w14:textId="7A993966" w:rsidR="00B04E44" w:rsidRPr="008F35C2" w:rsidRDefault="00B04E44" w:rsidP="00B04E44">
      <w:pPr>
        <w:rPr>
          <w:sz w:val="24"/>
          <w:szCs w:val="24"/>
        </w:rPr>
      </w:pPr>
      <w:r w:rsidRPr="008F35C2">
        <w:rPr>
          <w:b/>
          <w:bCs/>
          <w:sz w:val="24"/>
          <w:szCs w:val="24"/>
        </w:rPr>
        <w:t xml:space="preserve">Question:  </w:t>
      </w:r>
      <w:r w:rsidRPr="008F35C2">
        <w:rPr>
          <w:sz w:val="24"/>
          <w:szCs w:val="24"/>
        </w:rPr>
        <w:t>If a facility began some work on their building before the legislation was passed, will it be an allowable use of the funds if payment is made after August 1?  Or does the work on the building need to be started on or after August 1?</w:t>
      </w:r>
    </w:p>
    <w:p w14:paraId="633BF26B" w14:textId="6BBA0BAB" w:rsidR="00B04E44" w:rsidRPr="00546876" w:rsidRDefault="00B04E44" w:rsidP="00B04E44">
      <w:pPr>
        <w:rPr>
          <w:rFonts w:asciiTheme="minorHAnsi" w:hAnsiTheme="minorHAnsi" w:cstheme="minorHAnsi"/>
          <w:bCs/>
          <w:sz w:val="24"/>
          <w:szCs w:val="24"/>
        </w:rPr>
      </w:pPr>
      <w:r w:rsidRPr="008F35C2">
        <w:rPr>
          <w:b/>
          <w:bCs/>
          <w:sz w:val="24"/>
          <w:szCs w:val="24"/>
        </w:rPr>
        <w:t xml:space="preserve">Answer:  </w:t>
      </w:r>
      <w:r w:rsidR="00FE5A4B" w:rsidRPr="008F35C2">
        <w:rPr>
          <w:rFonts w:asciiTheme="minorHAnsi" w:hAnsiTheme="minorHAnsi" w:cstheme="minorHAnsi"/>
          <w:sz w:val="24"/>
          <w:szCs w:val="24"/>
        </w:rPr>
        <w:t xml:space="preserve">Per the terms of your APS contract amendment, </w:t>
      </w:r>
      <w:r w:rsidR="00FE5A4B" w:rsidRPr="008F35C2">
        <w:rPr>
          <w:rFonts w:asciiTheme="minorHAnsi" w:hAnsiTheme="minorHAnsi" w:cstheme="minorHAnsi"/>
          <w:sz w:val="24"/>
          <w:szCs w:val="24"/>
          <w:u w:val="single"/>
        </w:rPr>
        <w:t>p</w:t>
      </w:r>
      <w:r w:rsidR="00FE5A4B" w:rsidRPr="008F35C2">
        <w:rPr>
          <w:rFonts w:asciiTheme="minorHAnsi" w:hAnsiTheme="minorHAnsi" w:cstheme="minorHAnsi"/>
          <w:bCs/>
          <w:sz w:val="24"/>
          <w:szCs w:val="24"/>
          <w:u w:val="single"/>
        </w:rPr>
        <w:t xml:space="preserve">ayments </w:t>
      </w:r>
      <w:r w:rsidR="00FE5A4B" w:rsidRPr="008F35C2">
        <w:rPr>
          <w:rFonts w:asciiTheme="minorHAnsi" w:hAnsiTheme="minorHAnsi" w:cstheme="minorHAnsi"/>
          <w:bCs/>
          <w:sz w:val="24"/>
          <w:szCs w:val="24"/>
        </w:rPr>
        <w:t xml:space="preserve">for allowable expenses must be paid on or after August 1, 2023.  </w:t>
      </w:r>
      <w:r w:rsidR="00A76542" w:rsidRPr="008F35C2">
        <w:rPr>
          <w:rFonts w:asciiTheme="minorHAnsi" w:hAnsiTheme="minorHAnsi" w:cstheme="minorHAnsi"/>
          <w:bCs/>
          <w:sz w:val="24"/>
          <w:szCs w:val="24"/>
        </w:rPr>
        <w:t xml:space="preserve">In this case if work began on the building prior to August 1, if the cash payment occurred after August 1, it is an allowable use of the funds.  However, it should be noted this “cash basis” approach only applies to use of funds authorized under this chapter.  It does not preclude the requirements of 256R.09, subd. 5 which requires the “accrual” method of accounting for cost reporting purposes.  </w:t>
      </w:r>
      <w:hyperlink r:id="rId13" w:history="1">
        <w:r w:rsidR="00A76542" w:rsidRPr="008F35C2">
          <w:rPr>
            <w:rStyle w:val="Hyperlink"/>
            <w:rFonts w:asciiTheme="minorHAnsi" w:hAnsiTheme="minorHAnsi" w:cstheme="minorHAnsi"/>
            <w:bCs/>
            <w:sz w:val="24"/>
            <w:szCs w:val="24"/>
          </w:rPr>
          <w:t>https://www.revisor.mn.gov/statutes/cite/256R.09</w:t>
        </w:r>
      </w:hyperlink>
    </w:p>
    <w:p w14:paraId="27E6385C" w14:textId="77777777" w:rsidR="00546876" w:rsidRDefault="00546876" w:rsidP="00B04E44">
      <w:pPr>
        <w:rPr>
          <w:rFonts w:cstheme="minorHAnsi"/>
          <w:sz w:val="24"/>
          <w:szCs w:val="24"/>
        </w:rPr>
      </w:pPr>
    </w:p>
    <w:p w14:paraId="09F81505" w14:textId="74B3919D" w:rsidR="004A24D5" w:rsidRPr="00546876" w:rsidRDefault="004C0058" w:rsidP="00B04E44">
      <w:pPr>
        <w:rPr>
          <w:rFonts w:cstheme="minorHAnsi"/>
          <w:sz w:val="24"/>
          <w:szCs w:val="24"/>
        </w:rPr>
      </w:pPr>
      <w:r w:rsidRPr="00546876">
        <w:rPr>
          <w:rFonts w:cstheme="minorHAnsi"/>
          <w:sz w:val="24"/>
          <w:szCs w:val="24"/>
        </w:rPr>
        <w:t>A</w:t>
      </w:r>
      <w:r w:rsidR="004A24D5" w:rsidRPr="00546876">
        <w:rPr>
          <w:rFonts w:cstheme="minorHAnsi"/>
          <w:sz w:val="24"/>
          <w:szCs w:val="24"/>
        </w:rPr>
        <w:t xml:space="preserve">dditional Questions, please submit to David Hill at:  </w:t>
      </w:r>
      <w:hyperlink r:id="rId14" w:history="1">
        <w:r w:rsidR="004A24D5" w:rsidRPr="00546876">
          <w:rPr>
            <w:rStyle w:val="Hyperlink"/>
            <w:rFonts w:cstheme="minorHAnsi"/>
            <w:sz w:val="24"/>
            <w:szCs w:val="24"/>
          </w:rPr>
          <w:t>David.c.hill@state.mn.us</w:t>
        </w:r>
      </w:hyperlink>
      <w:r w:rsidR="004A24D5" w:rsidRPr="00546876">
        <w:rPr>
          <w:rFonts w:cstheme="minorHAnsi"/>
          <w:sz w:val="24"/>
          <w:szCs w:val="24"/>
        </w:rPr>
        <w:t xml:space="preserve"> </w:t>
      </w:r>
    </w:p>
    <w:p w14:paraId="5AC9C541" w14:textId="77777777" w:rsidR="004A24D5" w:rsidRPr="002F1947" w:rsidRDefault="004A24D5" w:rsidP="006972B9">
      <w:pPr>
        <w:pStyle w:val="BodyText"/>
      </w:pPr>
    </w:p>
    <w:sectPr w:rsidR="004A24D5" w:rsidRPr="002F1947" w:rsidSect="00622BB5">
      <w:headerReference w:type="first" r:id="rId15"/>
      <w:type w:val="continuous"/>
      <w:pgSz w:w="12240" w:h="15840" w:code="1"/>
      <w:pgMar w:top="1440" w:right="1080" w:bottom="108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AC9AB" w14:textId="77777777" w:rsidR="00E4607A" w:rsidRDefault="00E4607A">
      <w:r>
        <w:separator/>
      </w:r>
    </w:p>
  </w:endnote>
  <w:endnote w:type="continuationSeparator" w:id="0">
    <w:p w14:paraId="66A08DD0" w14:textId="77777777" w:rsidR="00E4607A" w:rsidRDefault="00E46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D5C31" w14:textId="77777777" w:rsidR="00E4607A" w:rsidRDefault="00E4607A">
      <w:r>
        <w:separator/>
      </w:r>
    </w:p>
  </w:footnote>
  <w:footnote w:type="continuationSeparator" w:id="0">
    <w:p w14:paraId="216AF0C8" w14:textId="77777777" w:rsidR="00E4607A" w:rsidRDefault="00E46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01F2" w14:textId="77777777" w:rsidR="00622BB5" w:rsidRPr="005666F2" w:rsidRDefault="00622BB5">
    <w:pPr>
      <w:rPr>
        <w:color w:val="003865"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2" type="#_x0000_t75" style="width:12.65pt;height:24.2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5D143E"/>
    <w:multiLevelType w:val="hybridMultilevel"/>
    <w:tmpl w:val="65469D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716920">
    <w:abstractNumId w:val="3"/>
  </w:num>
  <w:num w:numId="2" w16cid:durableId="1372071245">
    <w:abstractNumId w:val="6"/>
  </w:num>
  <w:num w:numId="3" w16cid:durableId="61173485">
    <w:abstractNumId w:val="18"/>
  </w:num>
  <w:num w:numId="4" w16cid:durableId="213351047">
    <w:abstractNumId w:val="16"/>
  </w:num>
  <w:num w:numId="5" w16cid:durableId="1482577645">
    <w:abstractNumId w:val="13"/>
  </w:num>
  <w:num w:numId="6" w16cid:durableId="1478954978">
    <w:abstractNumId w:val="4"/>
  </w:num>
  <w:num w:numId="7" w16cid:durableId="1422676542">
    <w:abstractNumId w:val="11"/>
  </w:num>
  <w:num w:numId="8" w16cid:durableId="306714534">
    <w:abstractNumId w:val="7"/>
  </w:num>
  <w:num w:numId="9" w16cid:durableId="159931119">
    <w:abstractNumId w:val="10"/>
  </w:num>
  <w:num w:numId="10" w16cid:durableId="1826774889">
    <w:abstractNumId w:val="2"/>
  </w:num>
  <w:num w:numId="11" w16cid:durableId="2000887667">
    <w:abstractNumId w:val="2"/>
  </w:num>
  <w:num w:numId="12" w16cid:durableId="1007638276">
    <w:abstractNumId w:val="19"/>
  </w:num>
  <w:num w:numId="13" w16cid:durableId="323169321">
    <w:abstractNumId w:val="20"/>
  </w:num>
  <w:num w:numId="14" w16cid:durableId="976102413">
    <w:abstractNumId w:val="12"/>
  </w:num>
  <w:num w:numId="15" w16cid:durableId="865290441">
    <w:abstractNumId w:val="2"/>
  </w:num>
  <w:num w:numId="16" w16cid:durableId="160240705">
    <w:abstractNumId w:val="20"/>
  </w:num>
  <w:num w:numId="17" w16cid:durableId="853885840">
    <w:abstractNumId w:val="12"/>
  </w:num>
  <w:num w:numId="18" w16cid:durableId="1885634035">
    <w:abstractNumId w:val="9"/>
  </w:num>
  <w:num w:numId="19" w16cid:durableId="419563772">
    <w:abstractNumId w:val="5"/>
  </w:num>
  <w:num w:numId="20" w16cid:durableId="115414047">
    <w:abstractNumId w:val="1"/>
  </w:num>
  <w:num w:numId="21" w16cid:durableId="100222926">
    <w:abstractNumId w:val="0"/>
  </w:num>
  <w:num w:numId="22" w16cid:durableId="1750539466">
    <w:abstractNumId w:val="8"/>
  </w:num>
  <w:num w:numId="23" w16cid:durableId="323817973">
    <w:abstractNumId w:val="15"/>
  </w:num>
  <w:num w:numId="24" w16cid:durableId="1555891209">
    <w:abstractNumId w:val="17"/>
  </w:num>
  <w:num w:numId="25" w16cid:durableId="13016193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D5"/>
    <w:rsid w:val="00002DEC"/>
    <w:rsid w:val="000065AC"/>
    <w:rsid w:val="00006A0A"/>
    <w:rsid w:val="0000766F"/>
    <w:rsid w:val="00064B90"/>
    <w:rsid w:val="00067A3D"/>
    <w:rsid w:val="0007374A"/>
    <w:rsid w:val="00080404"/>
    <w:rsid w:val="00084742"/>
    <w:rsid w:val="000B2E68"/>
    <w:rsid w:val="000C3708"/>
    <w:rsid w:val="000C3761"/>
    <w:rsid w:val="000C7373"/>
    <w:rsid w:val="000D7E94"/>
    <w:rsid w:val="000E313B"/>
    <w:rsid w:val="000E3E9D"/>
    <w:rsid w:val="000F4BB1"/>
    <w:rsid w:val="00120386"/>
    <w:rsid w:val="00135082"/>
    <w:rsid w:val="00135DC7"/>
    <w:rsid w:val="00147ED1"/>
    <w:rsid w:val="001500D6"/>
    <w:rsid w:val="00157C41"/>
    <w:rsid w:val="001661D9"/>
    <w:rsid w:val="001662C1"/>
    <w:rsid w:val="001708EC"/>
    <w:rsid w:val="001925A8"/>
    <w:rsid w:val="0019673D"/>
    <w:rsid w:val="001A46BB"/>
    <w:rsid w:val="001C55E0"/>
    <w:rsid w:val="001E5ECF"/>
    <w:rsid w:val="00211CA3"/>
    <w:rsid w:val="00222A49"/>
    <w:rsid w:val="0022552E"/>
    <w:rsid w:val="00261247"/>
    <w:rsid w:val="00264652"/>
    <w:rsid w:val="00282084"/>
    <w:rsid w:val="00291052"/>
    <w:rsid w:val="00293DB0"/>
    <w:rsid w:val="002B5E79"/>
    <w:rsid w:val="002C0859"/>
    <w:rsid w:val="002E29B7"/>
    <w:rsid w:val="002F1947"/>
    <w:rsid w:val="00306D94"/>
    <w:rsid w:val="003125DF"/>
    <w:rsid w:val="00321812"/>
    <w:rsid w:val="00335736"/>
    <w:rsid w:val="003563D2"/>
    <w:rsid w:val="00376FA5"/>
    <w:rsid w:val="00381B68"/>
    <w:rsid w:val="003A1479"/>
    <w:rsid w:val="003A1813"/>
    <w:rsid w:val="003B7D82"/>
    <w:rsid w:val="003C0187"/>
    <w:rsid w:val="003C4644"/>
    <w:rsid w:val="003C5BE3"/>
    <w:rsid w:val="00413A7C"/>
    <w:rsid w:val="004141DD"/>
    <w:rsid w:val="00461804"/>
    <w:rsid w:val="00466810"/>
    <w:rsid w:val="004816B5"/>
    <w:rsid w:val="00483DD2"/>
    <w:rsid w:val="00494E6F"/>
    <w:rsid w:val="004A1B4D"/>
    <w:rsid w:val="004A24D5"/>
    <w:rsid w:val="004A58DD"/>
    <w:rsid w:val="004A6119"/>
    <w:rsid w:val="004B47DC"/>
    <w:rsid w:val="004B7A02"/>
    <w:rsid w:val="004C0058"/>
    <w:rsid w:val="004C37D5"/>
    <w:rsid w:val="004E75B3"/>
    <w:rsid w:val="004F04BA"/>
    <w:rsid w:val="004F0EFF"/>
    <w:rsid w:val="0050093F"/>
    <w:rsid w:val="00514788"/>
    <w:rsid w:val="00532108"/>
    <w:rsid w:val="0054371B"/>
    <w:rsid w:val="00546876"/>
    <w:rsid w:val="0056615E"/>
    <w:rsid w:val="005666F2"/>
    <w:rsid w:val="0058713C"/>
    <w:rsid w:val="005B2DDF"/>
    <w:rsid w:val="005B4AE7"/>
    <w:rsid w:val="005B53B0"/>
    <w:rsid w:val="005D4207"/>
    <w:rsid w:val="005D45B3"/>
    <w:rsid w:val="005F6005"/>
    <w:rsid w:val="005F6C38"/>
    <w:rsid w:val="006064AB"/>
    <w:rsid w:val="00622BB5"/>
    <w:rsid w:val="00632CB6"/>
    <w:rsid w:val="00655345"/>
    <w:rsid w:val="00672536"/>
    <w:rsid w:val="00681EDC"/>
    <w:rsid w:val="006860AD"/>
    <w:rsid w:val="0068649F"/>
    <w:rsid w:val="00687189"/>
    <w:rsid w:val="006972B9"/>
    <w:rsid w:val="00697CCC"/>
    <w:rsid w:val="006A0D99"/>
    <w:rsid w:val="006A4975"/>
    <w:rsid w:val="006A57F9"/>
    <w:rsid w:val="006B13B7"/>
    <w:rsid w:val="006B2942"/>
    <w:rsid w:val="006B3994"/>
    <w:rsid w:val="006C0E45"/>
    <w:rsid w:val="006D4829"/>
    <w:rsid w:val="006F3B38"/>
    <w:rsid w:val="007137A4"/>
    <w:rsid w:val="00737A92"/>
    <w:rsid w:val="0074778B"/>
    <w:rsid w:val="0077225E"/>
    <w:rsid w:val="0078232A"/>
    <w:rsid w:val="007928B4"/>
    <w:rsid w:val="00793F48"/>
    <w:rsid w:val="007B35B2"/>
    <w:rsid w:val="007D1FFF"/>
    <w:rsid w:val="007D42A0"/>
    <w:rsid w:val="007E685C"/>
    <w:rsid w:val="007F6108"/>
    <w:rsid w:val="007F7097"/>
    <w:rsid w:val="008067A6"/>
    <w:rsid w:val="00814871"/>
    <w:rsid w:val="00816115"/>
    <w:rsid w:val="008251B3"/>
    <w:rsid w:val="00844F1D"/>
    <w:rsid w:val="0084749F"/>
    <w:rsid w:val="00864202"/>
    <w:rsid w:val="00875C55"/>
    <w:rsid w:val="008B5443"/>
    <w:rsid w:val="008C2062"/>
    <w:rsid w:val="008C7EEB"/>
    <w:rsid w:val="008D0DEF"/>
    <w:rsid w:val="008D2256"/>
    <w:rsid w:val="008D5E3D"/>
    <w:rsid w:val="008F35C2"/>
    <w:rsid w:val="008F50A2"/>
    <w:rsid w:val="0090737A"/>
    <w:rsid w:val="0096108C"/>
    <w:rsid w:val="00963BA0"/>
    <w:rsid w:val="00967764"/>
    <w:rsid w:val="009810EE"/>
    <w:rsid w:val="00984CC9"/>
    <w:rsid w:val="0099233F"/>
    <w:rsid w:val="009A74BA"/>
    <w:rsid w:val="009B54A0"/>
    <w:rsid w:val="009C6405"/>
    <w:rsid w:val="009C640D"/>
    <w:rsid w:val="009E197E"/>
    <w:rsid w:val="00A01123"/>
    <w:rsid w:val="00A26E3D"/>
    <w:rsid w:val="00A30799"/>
    <w:rsid w:val="00A344B7"/>
    <w:rsid w:val="00A57FE8"/>
    <w:rsid w:val="00A64ECE"/>
    <w:rsid w:val="00A66185"/>
    <w:rsid w:val="00A71CAD"/>
    <w:rsid w:val="00A731A2"/>
    <w:rsid w:val="00A76542"/>
    <w:rsid w:val="00A827C1"/>
    <w:rsid w:val="00A93F40"/>
    <w:rsid w:val="00A96F93"/>
    <w:rsid w:val="00AE5772"/>
    <w:rsid w:val="00AF22AD"/>
    <w:rsid w:val="00AF5107"/>
    <w:rsid w:val="00B04E44"/>
    <w:rsid w:val="00B06264"/>
    <w:rsid w:val="00B07C8F"/>
    <w:rsid w:val="00B275D4"/>
    <w:rsid w:val="00B5200F"/>
    <w:rsid w:val="00B75051"/>
    <w:rsid w:val="00B859DE"/>
    <w:rsid w:val="00BD0E59"/>
    <w:rsid w:val="00C12D2F"/>
    <w:rsid w:val="00C277A8"/>
    <w:rsid w:val="00C309AE"/>
    <w:rsid w:val="00C365CE"/>
    <w:rsid w:val="00C417EB"/>
    <w:rsid w:val="00C528AE"/>
    <w:rsid w:val="00C618DC"/>
    <w:rsid w:val="00C94285"/>
    <w:rsid w:val="00CA7853"/>
    <w:rsid w:val="00CE45B0"/>
    <w:rsid w:val="00D0014D"/>
    <w:rsid w:val="00D22819"/>
    <w:rsid w:val="00D37894"/>
    <w:rsid w:val="00D511F0"/>
    <w:rsid w:val="00D54EE5"/>
    <w:rsid w:val="00D63F82"/>
    <w:rsid w:val="00D640FC"/>
    <w:rsid w:val="00D70F7D"/>
    <w:rsid w:val="00D86B36"/>
    <w:rsid w:val="00D9236F"/>
    <w:rsid w:val="00D92929"/>
    <w:rsid w:val="00D93C2E"/>
    <w:rsid w:val="00D970A5"/>
    <w:rsid w:val="00DB4967"/>
    <w:rsid w:val="00DE50CB"/>
    <w:rsid w:val="00E206AE"/>
    <w:rsid w:val="00E21E7D"/>
    <w:rsid w:val="00E23397"/>
    <w:rsid w:val="00E32CD7"/>
    <w:rsid w:val="00E36BFA"/>
    <w:rsid w:val="00E44EE1"/>
    <w:rsid w:val="00E4607A"/>
    <w:rsid w:val="00E5241D"/>
    <w:rsid w:val="00E5680C"/>
    <w:rsid w:val="00E61A16"/>
    <w:rsid w:val="00E76267"/>
    <w:rsid w:val="00E852DA"/>
    <w:rsid w:val="00EA535B"/>
    <w:rsid w:val="00EC579D"/>
    <w:rsid w:val="00ED5BDC"/>
    <w:rsid w:val="00ED72BB"/>
    <w:rsid w:val="00ED7DAC"/>
    <w:rsid w:val="00F067A6"/>
    <w:rsid w:val="00F20B25"/>
    <w:rsid w:val="00F70C03"/>
    <w:rsid w:val="00F82A11"/>
    <w:rsid w:val="00F9084A"/>
    <w:rsid w:val="00FB6E40"/>
    <w:rsid w:val="00FC2378"/>
    <w:rsid w:val="00FD1CCB"/>
    <w:rsid w:val="00FE5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2AFD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661D9"/>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D5BDC"/>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D970A5"/>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ED5BDC"/>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1"/>
    <w:rsid w:val="00ED5BDC"/>
    <w:rPr>
      <w:rFonts w:ascii="Calibri" w:hAnsi="Calibri"/>
      <w:b/>
      <w:color w:val="003865"/>
      <w:sz w:val="40"/>
      <w:szCs w:val="40"/>
    </w:rPr>
  </w:style>
  <w:style w:type="character" w:customStyle="1" w:styleId="Heading2Char">
    <w:name w:val="Heading 2 Char"/>
    <w:basedOn w:val="DefaultParagraphFont"/>
    <w:link w:val="Heading2"/>
    <w:uiPriority w:val="1"/>
    <w:rsid w:val="00ED5BDC"/>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D970A5"/>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ED5BDC"/>
    <w:rPr>
      <w:rFonts w:ascii="Calibri" w:eastAsiaTheme="majorEastAsia" w:hAnsi="Calibri" w:cstheme="majorBidi"/>
      <w:i/>
      <w:sz w:val="24"/>
      <w:szCs w:val="24"/>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3"/>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0A3E2" w:themeColor="hyperlink"/>
      <w:u w:val="single"/>
    </w:rPr>
  </w:style>
  <w:style w:type="character" w:styleId="IntenseEmphasis">
    <w:name w:val="Intense Emphasis"/>
    <w:basedOn w:val="DefaultParagraphFont"/>
    <w:uiPriority w:val="3"/>
    <w:rsid w:val="002F1947"/>
    <w:rPr>
      <w:b/>
      <w:bCs/>
      <w:i/>
      <w:iCs/>
      <w:color w:val="auto"/>
    </w:rPr>
  </w:style>
  <w:style w:type="paragraph" w:styleId="IntenseQuote">
    <w:name w:val="Intense Quote"/>
    <w:basedOn w:val="BodyText"/>
    <w:next w:val="BodyText"/>
    <w:link w:val="IntenseQuoteChar"/>
    <w:uiPriority w:val="3"/>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17"/>
      </w:numPr>
      <w:spacing w:before="60"/>
    </w:pPr>
    <w:rPr>
      <w:lang w:bidi="ar-SA"/>
    </w:rPr>
  </w:style>
  <w:style w:type="paragraph" w:customStyle="1" w:styleId="TableFiguretitle">
    <w:name w:val="Table/Figure title"/>
    <w:basedOn w:val="Heading3"/>
    <w:next w:val="Normal"/>
    <w:qFormat/>
    <w:rsid w:val="008C2062"/>
    <w:pPr>
      <w:spacing w:line="240" w:lineRule="auto"/>
      <w:jc w:val="center"/>
    </w:pPr>
    <w:rPr>
      <w:rFonts w:eastAsia="Times New Roman"/>
      <w:iCs/>
      <w:szCs w:val="28"/>
    </w:rPr>
  </w:style>
  <w:style w:type="paragraph" w:styleId="Title">
    <w:name w:val="Title"/>
    <w:basedOn w:val="Normal"/>
    <w:next w:val="Normal"/>
    <w:link w:val="TitleChar"/>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24"/>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next w:val="Normal"/>
    <w:link w:val="TableH1Char"/>
    <w:uiPriority w:val="3"/>
    <w:qFormat/>
    <w:rsid w:val="008C2062"/>
    <w:pPr>
      <w:tabs>
        <w:tab w:val="left" w:pos="360"/>
        <w:tab w:val="left" w:pos="720"/>
      </w:tabs>
      <w:autoSpaceDE w:val="0"/>
      <w:autoSpaceDN w:val="0"/>
      <w:adjustRightInd w:val="0"/>
      <w:spacing w:before="60" w:after="60" w:line="240" w:lineRule="auto"/>
      <w:jc w:val="center"/>
      <w:textAlignment w:val="center"/>
    </w:pPr>
    <w:rPr>
      <w:rFonts w:cs="Arial"/>
      <w:b/>
      <w:bCs/>
      <w:color w:val="000000"/>
      <w:szCs w:val="18"/>
    </w:rPr>
  </w:style>
  <w:style w:type="character" w:customStyle="1" w:styleId="TableH1Char">
    <w:name w:val="Table H1 Char"/>
    <w:basedOn w:val="TablebodytextChar"/>
    <w:link w:val="TableH1"/>
    <w:uiPriority w:val="3"/>
    <w:rsid w:val="008C2062"/>
    <w:rPr>
      <w:rFonts w:ascii="Calibri" w:hAnsi="Calibri" w:cs="Arial"/>
      <w:b/>
      <w:bCs/>
      <w:color w:val="000000"/>
      <w:sz w:val="22"/>
      <w:szCs w:val="18"/>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rsid w:val="00D640FC"/>
    <w:pPr>
      <w:spacing w:before="0" w:line="240" w:lineRule="auto"/>
    </w:pPr>
    <w:rPr>
      <w:rFonts w:asciiTheme="minorHAnsi" w:eastAsiaTheme="minorHAnsi" w:hAnsiTheme="minorHAnsi" w:cstheme="minorBidi"/>
      <w:color w:val="000000" w:themeColor="text2"/>
      <w:lang w:bidi="ar-SA"/>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D640FC"/>
    <w:pPr>
      <w:ind w:left="720"/>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msonormal">
    <w:name w:val="x_msonormal"/>
    <w:basedOn w:val="Normal"/>
    <w:rsid w:val="004A24D5"/>
    <w:pPr>
      <w:spacing w:before="0" w:line="240" w:lineRule="auto"/>
    </w:pPr>
    <w:rPr>
      <w:rFonts w:eastAsiaTheme="minorHAnsi" w:cs="Calibri"/>
      <w:lang w:bidi="ar-SA"/>
    </w:rPr>
  </w:style>
  <w:style w:type="character" w:styleId="UnresolvedMention">
    <w:name w:val="Unresolved Mention"/>
    <w:basedOn w:val="DefaultParagraphFont"/>
    <w:uiPriority w:val="99"/>
    <w:semiHidden/>
    <w:unhideWhenUsed/>
    <w:rsid w:val="004A24D5"/>
    <w:rPr>
      <w:color w:val="605E5C"/>
      <w:shd w:val="clear" w:color="auto" w:fill="E1DFDD"/>
    </w:rPr>
  </w:style>
  <w:style w:type="character" w:styleId="CommentReference">
    <w:name w:val="annotation reference"/>
    <w:basedOn w:val="DefaultParagraphFont"/>
    <w:semiHidden/>
    <w:unhideWhenUsed/>
    <w:rsid w:val="00E852DA"/>
    <w:rPr>
      <w:sz w:val="16"/>
      <w:szCs w:val="16"/>
    </w:rPr>
  </w:style>
  <w:style w:type="paragraph" w:styleId="CommentText">
    <w:name w:val="annotation text"/>
    <w:basedOn w:val="Normal"/>
    <w:link w:val="CommentTextChar"/>
    <w:unhideWhenUsed/>
    <w:rsid w:val="00E852DA"/>
    <w:pPr>
      <w:spacing w:line="240" w:lineRule="auto"/>
    </w:pPr>
    <w:rPr>
      <w:sz w:val="20"/>
      <w:szCs w:val="20"/>
    </w:rPr>
  </w:style>
  <w:style w:type="character" w:customStyle="1" w:styleId="CommentTextChar">
    <w:name w:val="Comment Text Char"/>
    <w:basedOn w:val="DefaultParagraphFont"/>
    <w:link w:val="CommentText"/>
    <w:rsid w:val="00E852DA"/>
    <w:rPr>
      <w:sz w:val="20"/>
      <w:szCs w:val="20"/>
    </w:rPr>
  </w:style>
  <w:style w:type="paragraph" w:styleId="CommentSubject">
    <w:name w:val="annotation subject"/>
    <w:basedOn w:val="CommentText"/>
    <w:next w:val="CommentText"/>
    <w:link w:val="CommentSubjectChar"/>
    <w:semiHidden/>
    <w:unhideWhenUsed/>
    <w:rsid w:val="00E852DA"/>
    <w:rPr>
      <w:b/>
      <w:bCs/>
    </w:rPr>
  </w:style>
  <w:style w:type="character" w:customStyle="1" w:styleId="CommentSubjectChar">
    <w:name w:val="Comment Subject Char"/>
    <w:basedOn w:val="CommentTextChar"/>
    <w:link w:val="CommentSubject"/>
    <w:semiHidden/>
    <w:rsid w:val="00E852DA"/>
    <w:rPr>
      <w:b/>
      <w:bCs/>
      <w:sz w:val="20"/>
      <w:szCs w:val="20"/>
    </w:rPr>
  </w:style>
  <w:style w:type="paragraph" w:styleId="Revision">
    <w:name w:val="Revision"/>
    <w:hidden/>
    <w:uiPriority w:val="99"/>
    <w:semiHidden/>
    <w:rsid w:val="00F82A11"/>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416705706">
      <w:bodyDiv w:val="1"/>
      <w:marLeft w:val="0"/>
      <w:marRight w:val="0"/>
      <w:marTop w:val="0"/>
      <w:marBottom w:val="0"/>
      <w:divBdr>
        <w:top w:val="none" w:sz="0" w:space="0" w:color="auto"/>
        <w:left w:val="none" w:sz="0" w:space="0" w:color="auto"/>
        <w:bottom w:val="none" w:sz="0" w:space="0" w:color="auto"/>
        <w:right w:val="none" w:sz="0" w:space="0" w:color="auto"/>
      </w:divBdr>
    </w:div>
    <w:div w:id="701828469">
      <w:bodyDiv w:val="1"/>
      <w:marLeft w:val="0"/>
      <w:marRight w:val="0"/>
      <w:marTop w:val="0"/>
      <w:marBottom w:val="0"/>
      <w:divBdr>
        <w:top w:val="none" w:sz="0" w:space="0" w:color="auto"/>
        <w:left w:val="none" w:sz="0" w:space="0" w:color="auto"/>
        <w:bottom w:val="none" w:sz="0" w:space="0" w:color="auto"/>
        <w:right w:val="none" w:sz="0" w:space="0" w:color="auto"/>
      </w:divBdr>
    </w:div>
    <w:div w:id="740522759">
      <w:bodyDiv w:val="1"/>
      <w:marLeft w:val="0"/>
      <w:marRight w:val="0"/>
      <w:marTop w:val="0"/>
      <w:marBottom w:val="0"/>
      <w:divBdr>
        <w:top w:val="none" w:sz="0" w:space="0" w:color="auto"/>
        <w:left w:val="none" w:sz="0" w:space="0" w:color="auto"/>
        <w:bottom w:val="none" w:sz="0" w:space="0" w:color="auto"/>
        <w:right w:val="none" w:sz="0" w:space="0" w:color="auto"/>
      </w:divBdr>
    </w:div>
    <w:div w:id="1441679215">
      <w:bodyDiv w:val="1"/>
      <w:marLeft w:val="0"/>
      <w:marRight w:val="0"/>
      <w:marTop w:val="0"/>
      <w:marBottom w:val="0"/>
      <w:divBdr>
        <w:top w:val="none" w:sz="0" w:space="0" w:color="auto"/>
        <w:left w:val="none" w:sz="0" w:space="0" w:color="auto"/>
        <w:bottom w:val="none" w:sz="0" w:space="0" w:color="auto"/>
        <w:right w:val="none" w:sz="0" w:space="0" w:color="auto"/>
      </w:divBdr>
    </w:div>
    <w:div w:id="1534272188">
      <w:bodyDiv w:val="1"/>
      <w:marLeft w:val="0"/>
      <w:marRight w:val="0"/>
      <w:marTop w:val="0"/>
      <w:marBottom w:val="0"/>
      <w:divBdr>
        <w:top w:val="none" w:sz="0" w:space="0" w:color="auto"/>
        <w:left w:val="none" w:sz="0" w:space="0" w:color="auto"/>
        <w:bottom w:val="none" w:sz="0" w:space="0" w:color="auto"/>
        <w:right w:val="none" w:sz="0" w:space="0" w:color="auto"/>
      </w:divBdr>
    </w:div>
    <w:div w:id="206309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statutes/cite/256R.0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statutes/cite/256R.0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isor.mn.gov/laws/2023/0/Session+Law/Chapter/7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vid.c.hill@state.mn.u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649553C014B714F831F6EB251E6DCCD" ma:contentTypeVersion="1" ma:contentTypeDescription="Create a new document." ma:contentTypeScope="" ma:versionID="103f125c8eabf86449553cef20ecf905">
  <xsd:schema xmlns:xsd="http://www.w3.org/2001/XMLSchema" xmlns:xs="http://www.w3.org/2001/XMLSchema" xmlns:p="http://schemas.microsoft.com/office/2006/metadata/properties" targetNamespace="http://schemas.microsoft.com/office/2006/metadata/properties" ma:root="true" ma:fieldsID="be49189b09f1ade3a025730c41919c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CB443-8C0A-4DA2-911C-96C162319B54}">
  <ds:schemaRefs>
    <ds:schemaRef ds:uri="http://schemas.openxmlformats.org/officeDocument/2006/bibliography"/>
  </ds:schemaRefs>
</ds:datastoreItem>
</file>

<file path=customXml/itemProps2.xml><?xml version="1.0" encoding="utf-8"?>
<ds:datastoreItem xmlns:ds="http://schemas.openxmlformats.org/officeDocument/2006/customXml" ds:itemID="{E72EDFA6-B36D-4485-8F32-B6430FFC1FA4}">
  <ds:schemaRefs>
    <ds:schemaRef ds:uri="http://schemas.microsoft.com/sharepoint/v3/contenttype/forms"/>
  </ds:schemaRefs>
</ds:datastoreItem>
</file>

<file path=customXml/itemProps3.xml><?xml version="1.0" encoding="utf-8"?>
<ds:datastoreItem xmlns:ds="http://schemas.openxmlformats.org/officeDocument/2006/customXml" ds:itemID="{3097DDB4-B30E-498C-B0F3-693034785A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A64D40-ECD6-4755-BCB4-FB4E484C8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1283</Words>
  <Characters>6766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Memo template</vt:lpstr>
    </vt:vector>
  </TitlesOfParts>
  <Manager/>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subject>template</dc:subject>
  <dc:creator/>
  <cp:keywords>template memo</cp:keywords>
  <cp:lastModifiedBy/>
  <cp:revision>1</cp:revision>
  <dcterms:created xsi:type="dcterms:W3CDTF">2023-08-02T21:17:00Z</dcterms:created>
  <dcterms:modified xsi:type="dcterms:W3CDTF">2023-08-02T21:17:00Z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0x0101007649553C014B714F831F6EB251E6DCCD</vt:lpwstr>
  </property>
  <property fmtid="{D5CDD505-2E9C-101B-9397-08002B2CF9AE}" pid="3" name="Order">
    <vt:r8>900</vt:r8>
  </property>
  <property fmtid="{D5CDD505-2E9C-101B-9397-08002B2CF9AE}" pid="4" name="Category">
    <vt:lpwstr>General use</vt:lpwstr>
  </property>
  <property fmtid="{D5CDD505-2E9C-101B-9397-08002B2CF9AE}" pid="5" name="xd_ProgID">
    <vt:lpwstr/>
  </property>
  <property fmtid="{D5CDD505-2E9C-101B-9397-08002B2CF9AE}" pid="6" name="TemplateUrl">
    <vt:lpwstr/>
  </property>
</Properties>
</file>