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5F" w:rsidRPr="00375E5F" w:rsidRDefault="00375E5F" w:rsidP="00375E5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="Arial"/>
          <w:color w:val="000000"/>
          <w:sz w:val="20"/>
          <w:szCs w:val="20"/>
        </w:rPr>
      </w:pPr>
      <w:bookmarkStart w:id="0" w:name="Parliamentary_Procedure_Overview__"/>
      <w:r w:rsidRPr="00375E5F">
        <w:rPr>
          <w:rFonts w:eastAsia="Times New Roman" w:cs="Arial"/>
          <w:color w:val="000000"/>
          <w:sz w:val="27"/>
          <w:szCs w:val="27"/>
        </w:rPr>
        <w:t>Parliamentary Procedure Overview</w:t>
      </w:r>
      <w:bookmarkStart w:id="1" w:name="_GoBack"/>
      <w:bookmarkEnd w:id="0"/>
      <w:bookmarkEnd w:id="1"/>
    </w:p>
    <w:p w:rsidR="00375E5F" w:rsidRPr="00375E5F" w:rsidRDefault="00375E5F" w:rsidP="00375E5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</w:rPr>
      </w:pPr>
      <w:r w:rsidRPr="00375E5F">
        <w:rPr>
          <w:rFonts w:eastAsia="Times New Roman" w:cs="Arial"/>
          <w:color w:val="000000"/>
          <w:sz w:val="20"/>
          <w:szCs w:val="20"/>
        </w:rPr>
        <w:t>(Source: Board Member Orientation, Aspen Publishers, Inc.)</w:t>
      </w:r>
    </w:p>
    <w:p w:rsidR="00375E5F" w:rsidRPr="00375E5F" w:rsidRDefault="00375E5F" w:rsidP="00375E5F">
      <w:pPr>
        <w:shd w:val="clear" w:color="auto" w:fill="FFFFFF"/>
        <w:spacing w:before="100" w:beforeAutospacing="1" w:after="100" w:afterAutospacing="1" w:line="240" w:lineRule="auto"/>
        <w:ind w:right="60"/>
        <w:rPr>
          <w:rFonts w:eastAsia="Times New Roman" w:cs="Arial"/>
          <w:color w:val="000000"/>
          <w:sz w:val="20"/>
          <w:szCs w:val="20"/>
        </w:rPr>
      </w:pPr>
      <w:r w:rsidRPr="00375E5F">
        <w:rPr>
          <w:rFonts w:eastAsia="Times New Roman" w:cs="Arial"/>
          <w:b/>
          <w:bCs/>
          <w:color w:val="000000"/>
          <w:sz w:val="20"/>
          <w:szCs w:val="20"/>
        </w:rPr>
        <w:t>Use this as a quick reference tool when you need to refresh your parliamentary procedure knowledge.</w:t>
      </w:r>
      <w:r w:rsidRPr="00375E5F">
        <w:rPr>
          <w:rFonts w:eastAsia="Times New Roman" w:cs="Arial"/>
          <w:color w:val="000000"/>
          <w:sz w:val="20"/>
          <w:szCs w:val="20"/>
        </w:rPr>
        <w:t> </w:t>
      </w:r>
    </w:p>
    <w:tbl>
      <w:tblPr>
        <w:tblW w:w="5000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146"/>
        <w:gridCol w:w="1370"/>
        <w:gridCol w:w="1492"/>
        <w:gridCol w:w="1778"/>
        <w:gridCol w:w="1635"/>
        <w:gridCol w:w="1819"/>
      </w:tblGrid>
      <w:tr w:rsidR="00375E5F" w:rsidRPr="00375E5F" w:rsidTr="00375E5F">
        <w:trPr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FFFFFF"/>
                <w:sz w:val="20"/>
                <w:szCs w:val="20"/>
              </w:rPr>
              <w:br/>
              <w:t>To do this: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FFFFFF"/>
                <w:sz w:val="20"/>
                <w:szCs w:val="20"/>
              </w:rPr>
              <w:br/>
              <w:t>Say this: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FFFFFF"/>
                <w:sz w:val="20"/>
                <w:szCs w:val="20"/>
              </w:rPr>
              <w:t>Interrupt speaker?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FFFFFF"/>
                <w:sz w:val="20"/>
                <w:szCs w:val="20"/>
              </w:rPr>
              <w:t>Second required?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FFFFFF"/>
                <w:sz w:val="20"/>
                <w:szCs w:val="20"/>
              </w:rPr>
              <w:t>Is motion debatable?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FFFFFF"/>
                <w:sz w:val="20"/>
                <w:szCs w:val="20"/>
              </w:rPr>
              <w:t>Is motion amendable?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FFFFFF"/>
                <w:sz w:val="20"/>
                <w:szCs w:val="20"/>
              </w:rPr>
              <w:t>What vote is required?</w:t>
            </w:r>
          </w:p>
        </w:tc>
      </w:tr>
      <w:tr w:rsidR="00375E5F" w:rsidRPr="00375E5F" w:rsidTr="00375E5F">
        <w:trPr>
          <w:jc w:val="center"/>
        </w:trPr>
        <w:tc>
          <w:tcPr>
            <w:tcW w:w="19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Adjourn meeting</w:t>
            </w: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before business</w:t>
            </w: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is completed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“I move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that we</w:t>
            </w: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adjourn.”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Majority</w:t>
            </w:r>
          </w:p>
        </w:tc>
      </w:tr>
      <w:tr w:rsidR="00375E5F" w:rsidRPr="00375E5F" w:rsidTr="00375E5F">
        <w:trPr>
          <w:jc w:val="center"/>
        </w:trPr>
        <w:tc>
          <w:tcPr>
            <w:tcW w:w="19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Recess the meeting</w:t>
            </w:r>
          </w:p>
        </w:tc>
        <w:tc>
          <w:tcPr>
            <w:tcW w:w="157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“I move that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we recess until”</w:t>
            </w:r>
          </w:p>
        </w:tc>
        <w:tc>
          <w:tcPr>
            <w:tcW w:w="10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9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3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smallCaps/>
                <w:color w:val="000000"/>
                <w:sz w:val="20"/>
                <w:szCs w:val="20"/>
              </w:rPr>
              <w:t>m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ajority</w:t>
            </w:r>
          </w:p>
        </w:tc>
      </w:tr>
      <w:tr w:rsidR="00375E5F" w:rsidRPr="00375E5F" w:rsidTr="00375E5F">
        <w:trPr>
          <w:jc w:val="center"/>
        </w:trPr>
        <w:tc>
          <w:tcPr>
            <w:tcW w:w="19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Suspend further</w:t>
            </w: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consideration of an issue</w:t>
            </w:r>
          </w:p>
        </w:tc>
        <w:tc>
          <w:tcPr>
            <w:tcW w:w="157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“I move we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table it.”</w:t>
            </w:r>
          </w:p>
        </w:tc>
        <w:tc>
          <w:tcPr>
            <w:tcW w:w="10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9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3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smallCaps/>
                <w:color w:val="000000"/>
                <w:sz w:val="20"/>
                <w:szCs w:val="20"/>
              </w:rPr>
              <w:t>m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ajority</w:t>
            </w:r>
          </w:p>
        </w:tc>
      </w:tr>
      <w:tr w:rsidR="00375E5F" w:rsidRPr="00375E5F" w:rsidTr="00375E5F">
        <w:trPr>
          <w:jc w:val="center"/>
        </w:trPr>
        <w:tc>
          <w:tcPr>
            <w:tcW w:w="19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End debate</w:t>
            </w:r>
          </w:p>
        </w:tc>
        <w:tc>
          <w:tcPr>
            <w:tcW w:w="157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“I move the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previous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question.”</w:t>
            </w:r>
          </w:p>
        </w:tc>
        <w:tc>
          <w:tcPr>
            <w:tcW w:w="10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9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3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Two-thirds</w:t>
            </w:r>
          </w:p>
        </w:tc>
      </w:tr>
      <w:tr w:rsidR="00375E5F" w:rsidRPr="00375E5F" w:rsidTr="00375E5F">
        <w:trPr>
          <w:jc w:val="center"/>
        </w:trPr>
        <w:tc>
          <w:tcPr>
            <w:tcW w:w="19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Study an issue</w:t>
            </w: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further</w:t>
            </w:r>
          </w:p>
        </w:tc>
        <w:tc>
          <w:tcPr>
            <w:tcW w:w="157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“I move we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refer this matter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to a committee.”</w:t>
            </w:r>
          </w:p>
        </w:tc>
        <w:tc>
          <w:tcPr>
            <w:tcW w:w="10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9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3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Majority</w:t>
            </w:r>
          </w:p>
        </w:tc>
      </w:tr>
      <w:tr w:rsidR="00375E5F" w:rsidRPr="00375E5F" w:rsidTr="00375E5F">
        <w:trPr>
          <w:jc w:val="center"/>
        </w:trPr>
        <w:tc>
          <w:tcPr>
            <w:tcW w:w="19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Introduce business</w:t>
            </w: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(primary motion)</w:t>
            </w:r>
          </w:p>
        </w:tc>
        <w:tc>
          <w:tcPr>
            <w:tcW w:w="157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“I move that”</w:t>
            </w:r>
          </w:p>
        </w:tc>
        <w:tc>
          <w:tcPr>
            <w:tcW w:w="10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9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3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Majority</w:t>
            </w:r>
          </w:p>
        </w:tc>
      </w:tr>
      <w:tr w:rsidR="00375E5F" w:rsidRPr="00375E5F" w:rsidTr="00375E5F">
        <w:trPr>
          <w:jc w:val="center"/>
        </w:trPr>
        <w:tc>
          <w:tcPr>
            <w:tcW w:w="19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Amend a motion</w:t>
            </w:r>
          </w:p>
        </w:tc>
        <w:tc>
          <w:tcPr>
            <w:tcW w:w="157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“I move that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this motion be amended by”</w:t>
            </w:r>
          </w:p>
        </w:tc>
        <w:tc>
          <w:tcPr>
            <w:tcW w:w="10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9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3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Majority</w:t>
            </w:r>
          </w:p>
        </w:tc>
      </w:tr>
      <w:tr w:rsidR="00375E5F" w:rsidRPr="00375E5F" w:rsidTr="00375E5F">
        <w:trPr>
          <w:jc w:val="center"/>
        </w:trPr>
        <w:tc>
          <w:tcPr>
            <w:tcW w:w="1995" w:type="dxa"/>
            <w:tcBorders>
              <w:top w:val="outset" w:sz="6" w:space="0" w:color="333333"/>
              <w:left w:val="outset" w:sz="6" w:space="0" w:color="333333"/>
              <w:bottom w:val="single" w:sz="6" w:space="0" w:color="333333"/>
              <w:right w:val="outset" w:sz="6" w:space="0" w:color="333333"/>
            </w:tcBorders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Object to procedure</w:t>
            </w: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or a personal affront</w:t>
            </w:r>
          </w:p>
        </w:tc>
        <w:tc>
          <w:tcPr>
            <w:tcW w:w="157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“Point of order.”</w:t>
            </w:r>
          </w:p>
        </w:tc>
        <w:tc>
          <w:tcPr>
            <w:tcW w:w="10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9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3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 vote,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chair decides</w:t>
            </w:r>
          </w:p>
        </w:tc>
      </w:tr>
      <w:tr w:rsidR="00375E5F" w:rsidRPr="00375E5F" w:rsidTr="00375E5F">
        <w:trPr>
          <w:jc w:val="center"/>
        </w:trPr>
        <w:tc>
          <w:tcPr>
            <w:tcW w:w="1995" w:type="dxa"/>
            <w:tcBorders>
              <w:top w:val="single" w:sz="6" w:space="0" w:color="333333"/>
              <w:left w:val="outset" w:sz="6" w:space="0" w:color="333333"/>
              <w:bottom w:val="single" w:sz="6" w:space="0" w:color="333333"/>
              <w:right w:val="outset" w:sz="6" w:space="0" w:color="333333"/>
            </w:tcBorders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Take up a previously tabled matter</w:t>
            </w:r>
          </w:p>
        </w:tc>
        <w:tc>
          <w:tcPr>
            <w:tcW w:w="157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“I move we take from the table”</w:t>
            </w:r>
          </w:p>
        </w:tc>
        <w:tc>
          <w:tcPr>
            <w:tcW w:w="10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9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35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Majority</w:t>
            </w:r>
          </w:p>
        </w:tc>
      </w:tr>
      <w:tr w:rsidR="00375E5F" w:rsidRPr="00375E5F" w:rsidTr="00375E5F">
        <w:trPr>
          <w:jc w:val="center"/>
        </w:trPr>
        <w:tc>
          <w:tcPr>
            <w:tcW w:w="1995" w:type="dxa"/>
            <w:tcBorders>
              <w:top w:val="single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Consider an</w:t>
            </w: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issue out of its</w:t>
            </w:r>
            <w:r w:rsidRPr="00375E5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scheduled order</w:t>
            </w:r>
          </w:p>
        </w:tc>
        <w:tc>
          <w:tcPr>
            <w:tcW w:w="1575" w:type="dxa"/>
            <w:tcBorders>
              <w:top w:val="single" w:sz="6" w:space="0" w:color="333333"/>
              <w:left w:val="nil"/>
              <w:bottom w:val="nil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“I move we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suspend the rules</w:t>
            </w: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and consider”</w:t>
            </w:r>
          </w:p>
        </w:tc>
        <w:tc>
          <w:tcPr>
            <w:tcW w:w="1005" w:type="dxa"/>
            <w:tcBorders>
              <w:top w:val="single" w:sz="6" w:space="0" w:color="333333"/>
              <w:left w:val="nil"/>
              <w:bottom w:val="nil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95" w:type="dxa"/>
            <w:tcBorders>
              <w:top w:val="single" w:sz="6" w:space="0" w:color="333333"/>
              <w:left w:val="nil"/>
              <w:bottom w:val="nil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5" w:type="dxa"/>
            <w:tcBorders>
              <w:top w:val="single" w:sz="6" w:space="0" w:color="333333"/>
              <w:left w:val="nil"/>
              <w:bottom w:val="nil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6" w:space="0" w:color="333333"/>
              <w:left w:val="nil"/>
              <w:bottom w:val="nil"/>
              <w:right w:val="single" w:sz="6" w:space="0" w:color="000080"/>
            </w:tcBorders>
            <w:shd w:val="clear" w:color="auto" w:fill="C0C0C0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35" w:type="dxa"/>
            <w:tcBorders>
              <w:top w:val="single" w:sz="6" w:space="0" w:color="333333"/>
              <w:left w:val="nil"/>
              <w:bottom w:val="nil"/>
              <w:right w:val="single" w:sz="6" w:space="0" w:color="000080"/>
            </w:tcBorders>
            <w:shd w:val="clear" w:color="auto" w:fill="E5E5E5"/>
            <w:hideMark/>
          </w:tcPr>
          <w:p w:rsidR="00375E5F" w:rsidRPr="00375E5F" w:rsidRDefault="00375E5F" w:rsidP="00375E5F">
            <w:pPr>
              <w:spacing w:before="100" w:beforeAutospacing="1" w:after="100" w:afterAutospacing="1" w:line="240" w:lineRule="auto"/>
              <w:ind w:right="-4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75E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Two-thirds</w:t>
            </w:r>
          </w:p>
        </w:tc>
      </w:tr>
    </w:tbl>
    <w:p w:rsidR="00375E5F" w:rsidRPr="00375E5F" w:rsidRDefault="00375E5F" w:rsidP="00375E5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</w:p>
    <w:p w:rsidR="00B37D35" w:rsidRDefault="00375E5F"/>
    <w:sectPr w:rsidR="00B37D35" w:rsidSect="00375E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5F"/>
    <w:rsid w:val="002C4D06"/>
    <w:rsid w:val="00351AB5"/>
    <w:rsid w:val="00355CB1"/>
    <w:rsid w:val="00375E5F"/>
    <w:rsid w:val="00A11CFC"/>
    <w:rsid w:val="00D54375"/>
    <w:rsid w:val="00EA3472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94950-9E56-43F6-9063-279F5F21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Landeen</dc:creator>
  <cp:keywords/>
  <dc:description/>
  <cp:lastModifiedBy>Barbara Landeen</cp:lastModifiedBy>
  <cp:revision>1</cp:revision>
  <dcterms:created xsi:type="dcterms:W3CDTF">2016-03-22T20:50:00Z</dcterms:created>
  <dcterms:modified xsi:type="dcterms:W3CDTF">2016-03-22T20:50:00Z</dcterms:modified>
</cp:coreProperties>
</file>