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C14F" w14:textId="77777777" w:rsidR="00010E8B" w:rsidRPr="00683A4A" w:rsidRDefault="00010E8B" w:rsidP="00010E8B">
      <w:pPr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683A4A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[AGENCY NAME]</w:t>
      </w:r>
      <w:r w:rsidRPr="00683A4A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</w:p>
    <w:p w14:paraId="67D7F8CD" w14:textId="56269DD0" w:rsidR="00010E8B" w:rsidRPr="00010E8B" w:rsidRDefault="00010E8B" w:rsidP="00010E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3A4A">
        <w:rPr>
          <w:rFonts w:ascii="Arial" w:hAnsi="Arial" w:cs="Arial"/>
          <w:b/>
          <w:bCs/>
          <w:sz w:val="24"/>
          <w:szCs w:val="24"/>
        </w:rPr>
        <w:t>POLICIES AND PROCEDURE</w:t>
      </w:r>
    </w:p>
    <w:p w14:paraId="6370D039" w14:textId="77777777" w:rsidR="00010E8B" w:rsidRPr="00683A4A" w:rsidRDefault="00010E8B" w:rsidP="00010E8B">
      <w:pPr>
        <w:pStyle w:val="Heading1"/>
        <w:ind w:left="1530" w:hanging="1530"/>
        <w:jc w:val="left"/>
        <w:rPr>
          <w:b/>
          <w:bCs/>
          <w:sz w:val="24"/>
          <w:szCs w:val="24"/>
        </w:rPr>
      </w:pPr>
      <w:r w:rsidRPr="00683A4A">
        <w:rPr>
          <w:b/>
          <w:bCs/>
          <w:sz w:val="24"/>
          <w:szCs w:val="24"/>
        </w:rPr>
        <w:t>SUBJECT</w:t>
      </w:r>
      <w:bookmarkStart w:id="0" w:name="ADMIN_CLIA_WAIVER"/>
      <w:r w:rsidRPr="00683A4A">
        <w:rPr>
          <w:b/>
          <w:bCs/>
          <w:sz w:val="24"/>
          <w:szCs w:val="24"/>
        </w:rPr>
        <w:t xml:space="preserve">:  </w:t>
      </w:r>
      <w:bookmarkEnd w:id="0"/>
      <w:r>
        <w:rPr>
          <w:b/>
          <w:bCs/>
          <w:sz w:val="24"/>
          <w:szCs w:val="24"/>
        </w:rPr>
        <w:t>DEVICES AND DEVICE ASSESSMENT</w:t>
      </w:r>
    </w:p>
    <w:p w14:paraId="79F10F4B" w14:textId="77777777" w:rsidR="00010E8B" w:rsidRPr="00683A4A" w:rsidRDefault="00010E8B" w:rsidP="00010E8B">
      <w:pPr>
        <w:pStyle w:val="Heading1"/>
        <w:rPr>
          <w:sz w:val="24"/>
          <w:szCs w:val="24"/>
        </w:rPr>
      </w:pP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</w:p>
    <w:p w14:paraId="2FE4A25D" w14:textId="112FD6CB" w:rsidR="00010E8B" w:rsidRPr="00683A4A" w:rsidRDefault="00010E8B" w:rsidP="0001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683A4A">
        <w:rPr>
          <w:rFonts w:ascii="Arial" w:hAnsi="Arial" w:cs="Arial"/>
          <w:b/>
          <w:sz w:val="24"/>
          <w:szCs w:val="24"/>
        </w:rPr>
        <w:t xml:space="preserve">Accountability:  Clinical Nurse Supervisor    Document No.:  </w:t>
      </w:r>
    </w:p>
    <w:p w14:paraId="713595D6" w14:textId="77777777" w:rsidR="00010E8B" w:rsidRPr="00683A4A" w:rsidRDefault="00010E8B" w:rsidP="00010E8B">
      <w:pPr>
        <w:pBdr>
          <w:bottom w:val="single" w:sz="18" w:space="6" w:color="auto"/>
        </w:pBdr>
        <w:rPr>
          <w:rFonts w:ascii="Arial" w:hAnsi="Arial" w:cs="Arial"/>
          <w:b/>
          <w:sz w:val="24"/>
          <w:szCs w:val="24"/>
        </w:rPr>
      </w:pPr>
      <w:r w:rsidRPr="00683A4A">
        <w:rPr>
          <w:rFonts w:ascii="Arial" w:hAnsi="Arial" w:cs="Arial"/>
          <w:b/>
          <w:sz w:val="24"/>
          <w:szCs w:val="24"/>
        </w:rPr>
        <w:tab/>
      </w:r>
      <w:r w:rsidRPr="00683A4A">
        <w:rPr>
          <w:rFonts w:ascii="Arial" w:hAnsi="Arial" w:cs="Arial"/>
          <w:b/>
          <w:sz w:val="24"/>
          <w:szCs w:val="24"/>
        </w:rPr>
        <w:tab/>
      </w:r>
      <w:r w:rsidRPr="00683A4A">
        <w:rPr>
          <w:rFonts w:ascii="Arial" w:hAnsi="Arial" w:cs="Arial"/>
          <w:b/>
          <w:sz w:val="24"/>
          <w:szCs w:val="24"/>
        </w:rPr>
        <w:tab/>
      </w:r>
    </w:p>
    <w:p w14:paraId="2FC21A98" w14:textId="3BDE6341" w:rsidR="00010E8B" w:rsidRDefault="00010E8B" w:rsidP="00010E8B">
      <w:pPr>
        <w:spacing w:after="1" w:line="239" w:lineRule="auto"/>
        <w:ind w:left="-5" w:right="-14"/>
        <w:jc w:val="both"/>
        <w:rPr>
          <w:rFonts w:ascii="Arial" w:hAnsi="Arial" w:cs="Arial"/>
          <w:b/>
          <w:sz w:val="24"/>
          <w:szCs w:val="24"/>
        </w:rPr>
      </w:pPr>
      <w:r w:rsidRPr="00683A4A">
        <w:rPr>
          <w:rFonts w:ascii="Arial" w:hAnsi="Arial" w:cs="Arial"/>
          <w:b/>
          <w:sz w:val="24"/>
          <w:szCs w:val="24"/>
        </w:rPr>
        <w:t xml:space="preserve">POLICY:   </w:t>
      </w:r>
    </w:p>
    <w:p w14:paraId="5D92974B" w14:textId="77777777" w:rsidR="00010E8B" w:rsidRDefault="00010E8B" w:rsidP="00010E8B">
      <w:pPr>
        <w:spacing w:after="1" w:line="239" w:lineRule="auto"/>
        <w:ind w:left="-5" w:right="-14"/>
        <w:jc w:val="both"/>
        <w:rPr>
          <w:rFonts w:ascii="Arial" w:hAnsi="Arial" w:cs="Arial"/>
          <w:b/>
          <w:sz w:val="24"/>
          <w:szCs w:val="24"/>
        </w:rPr>
      </w:pPr>
    </w:p>
    <w:p w14:paraId="721A8828" w14:textId="75964849" w:rsidR="00010E8B" w:rsidRDefault="00010E8B" w:rsidP="00010E8B">
      <w:pPr>
        <w:pStyle w:val="ListParagraph"/>
        <w:numPr>
          <w:ilvl w:val="0"/>
          <w:numId w:val="1"/>
        </w:numPr>
        <w:spacing w:after="1" w:line="239" w:lineRule="auto"/>
        <w:ind w:right="-14"/>
        <w:jc w:val="both"/>
      </w:pPr>
      <w:r>
        <w:t>Due to the risk of injury related to the use of physical devices, such device</w:t>
      </w:r>
      <w:r w:rsidR="00F15D0C">
        <w:t>s</w:t>
      </w:r>
      <w:r>
        <w:t xml:space="preserve"> will only be used after an assessment has been completed to determine the risks and benefits of this use.  </w:t>
      </w:r>
    </w:p>
    <w:p w14:paraId="640679D3" w14:textId="5DDDA4F4" w:rsidR="00010E8B" w:rsidRDefault="00010E8B" w:rsidP="00010E8B">
      <w:pPr>
        <w:pStyle w:val="ListParagraph"/>
        <w:numPr>
          <w:ilvl w:val="0"/>
          <w:numId w:val="1"/>
        </w:numPr>
        <w:spacing w:after="1" w:line="239" w:lineRule="auto"/>
        <w:ind w:right="-14"/>
        <w:jc w:val="both"/>
      </w:pPr>
      <w:r>
        <w:t>The resident/</w:t>
      </w:r>
      <w:r w:rsidR="00F15D0C">
        <w:t>responsible party</w:t>
      </w:r>
      <w:r>
        <w:t xml:space="preserve"> will be educated regarding the risks and benefits of physical devices.  Physical devices will be reviewed for safety and used according to manufacturer’s recommendations. </w:t>
      </w:r>
    </w:p>
    <w:p w14:paraId="677C7522" w14:textId="77777777" w:rsidR="00010E8B" w:rsidRDefault="00010E8B" w:rsidP="00010E8B">
      <w:pPr>
        <w:pStyle w:val="ListParagraph"/>
        <w:numPr>
          <w:ilvl w:val="0"/>
          <w:numId w:val="1"/>
        </w:numPr>
      </w:pPr>
      <w:r>
        <w:t xml:space="preserve">Continued use of physical devices will be assessed at least every 90 days </w:t>
      </w:r>
      <w:r w:rsidRPr="00DF04AA">
        <w:t xml:space="preserve">or with significant change </w:t>
      </w:r>
      <w:r>
        <w:t xml:space="preserve">to determine if the device is still needed to enhance the resident’s safety and/or bed mobility. </w:t>
      </w:r>
    </w:p>
    <w:p w14:paraId="0A6CBBA8" w14:textId="370DBA67" w:rsidR="00010E8B" w:rsidRDefault="00010E8B" w:rsidP="00010E8B">
      <w:pPr>
        <w:pStyle w:val="ListParagraph"/>
        <w:numPr>
          <w:ilvl w:val="0"/>
          <w:numId w:val="1"/>
        </w:numPr>
        <w:spacing w:after="1" w:line="239" w:lineRule="auto"/>
        <w:ind w:right="-14"/>
        <w:jc w:val="both"/>
      </w:pPr>
      <w:r>
        <w:t xml:space="preserve">If the physical device restricts a resident’s freedom of movement, it constitutes a restraint, and our facilities are restraint free.  Physical devices that do not restrict the resident’s freedom of movement and are used to assist the resident/client in bed mobility are not restraints. </w:t>
      </w:r>
    </w:p>
    <w:p w14:paraId="0FCD3435" w14:textId="1B0E0A19" w:rsidR="00010E8B" w:rsidRDefault="00010E8B" w:rsidP="00010E8B">
      <w:pPr>
        <w:pStyle w:val="ListParagraph"/>
        <w:numPr>
          <w:ilvl w:val="0"/>
          <w:numId w:val="1"/>
        </w:numPr>
      </w:pPr>
      <w:r>
        <w:t xml:space="preserve">Physical devices include, but are not limited to, </w:t>
      </w:r>
      <w:r w:rsidR="00F15D0C">
        <w:t>s</w:t>
      </w:r>
      <w:r>
        <w:t>ide rails (half or full</w:t>
      </w:r>
      <w:proofErr w:type="gramStart"/>
      <w:r>
        <w:t>);</w:t>
      </w:r>
      <w:proofErr w:type="gramEnd"/>
      <w:r>
        <w:t xml:space="preserve"> grab bars, halo bars, positioning poles.   </w:t>
      </w:r>
    </w:p>
    <w:p w14:paraId="34AAA94E" w14:textId="6B0E4447" w:rsidR="00010E8B" w:rsidRPr="00010E8B" w:rsidRDefault="00010E8B" w:rsidP="00010E8B">
      <w:pPr>
        <w:pStyle w:val="ListParagraph"/>
        <w:numPr>
          <w:ilvl w:val="0"/>
          <w:numId w:val="1"/>
        </w:numPr>
        <w:rPr>
          <w:i/>
          <w:iCs/>
          <w:color w:val="C00000"/>
        </w:rPr>
      </w:pPr>
      <w:r w:rsidRPr="00316334">
        <w:rPr>
          <w:i/>
          <w:iCs/>
          <w:color w:val="C00000"/>
        </w:rPr>
        <w:t>Grab bars that are either placed/attached or strapped between the mattress and box spring or bed frame are not allowed in our building. If the facility staff learn of a device like this on a bed it will be removed and alternatives will be discussed with the resident/responsible party.</w:t>
      </w:r>
    </w:p>
    <w:p w14:paraId="416013B1" w14:textId="34AD5679" w:rsidR="00010E8B" w:rsidRPr="00010E8B" w:rsidRDefault="00010E8B" w:rsidP="00010E8B">
      <w:pPr>
        <w:pStyle w:val="ListParagraph"/>
        <w:numPr>
          <w:ilvl w:val="0"/>
          <w:numId w:val="1"/>
        </w:numPr>
        <w:rPr>
          <w:i/>
          <w:iCs/>
          <w:color w:val="C00000"/>
        </w:rPr>
      </w:pPr>
      <w:r w:rsidRPr="00316334">
        <w:rPr>
          <w:i/>
          <w:iCs/>
          <w:color w:val="C00000"/>
        </w:rPr>
        <w:t>If a resident needs a device to assist with bed mobility the preferred device is a Halo. This device can be safely placed on a residential bed.</w:t>
      </w:r>
    </w:p>
    <w:p w14:paraId="1DE04425" w14:textId="7386F1B4" w:rsidR="00010E8B" w:rsidRPr="00683A4A" w:rsidRDefault="00010E8B" w:rsidP="00010E8B">
      <w:pPr>
        <w:rPr>
          <w:rFonts w:ascii="Arial" w:hAnsi="Arial" w:cs="Arial"/>
          <w:b/>
        </w:rPr>
      </w:pPr>
      <w:r w:rsidRPr="00683A4A">
        <w:rPr>
          <w:rFonts w:ascii="Arial" w:hAnsi="Arial" w:cs="Arial"/>
          <w:b/>
        </w:rPr>
        <w:t>PROCEDURE:</w:t>
      </w:r>
    </w:p>
    <w:p w14:paraId="0F1E2430" w14:textId="79F341D8" w:rsidR="00010E8B" w:rsidRDefault="00010E8B" w:rsidP="00010E8B">
      <w:pPr>
        <w:numPr>
          <w:ilvl w:val="0"/>
          <w:numId w:val="2"/>
        </w:numPr>
        <w:spacing w:after="5" w:line="249" w:lineRule="auto"/>
        <w:ind w:hanging="360"/>
      </w:pPr>
      <w:r>
        <w:t>If the resident expresses the desire to use a device or a device is in use / recommended, a nurse will complete a device assessment at the time of move in, upon hospital return, change in condition, and / or upon discovery of a rail.</w:t>
      </w:r>
    </w:p>
    <w:p w14:paraId="0431E233" w14:textId="54475451" w:rsidR="00010E8B" w:rsidRDefault="00010E8B" w:rsidP="00010E8B">
      <w:pPr>
        <w:numPr>
          <w:ilvl w:val="0"/>
          <w:numId w:val="2"/>
        </w:numPr>
        <w:spacing w:after="5" w:line="249" w:lineRule="auto"/>
        <w:ind w:hanging="360"/>
      </w:pPr>
      <w:r>
        <w:t>The licensed nurse or designee will review the risks and benefits of device use and potential device alternatives with the resident and/or responsible party.</w:t>
      </w:r>
    </w:p>
    <w:p w14:paraId="4F7A8D2E" w14:textId="13861868" w:rsidR="00010E8B" w:rsidRDefault="00010E8B" w:rsidP="00010E8B">
      <w:pPr>
        <w:numPr>
          <w:ilvl w:val="0"/>
          <w:numId w:val="2"/>
        </w:numPr>
        <w:spacing w:after="5" w:line="249" w:lineRule="auto"/>
        <w:ind w:hanging="360"/>
      </w:pPr>
      <w:r>
        <w:t>Devices will be installed as appropriate for the type of bed:</w:t>
      </w:r>
    </w:p>
    <w:p w14:paraId="1A631CAF" w14:textId="5C4F97E7" w:rsidR="00010E8B" w:rsidRDefault="00010E8B" w:rsidP="00010E8B">
      <w:pPr>
        <w:numPr>
          <w:ilvl w:val="1"/>
          <w:numId w:val="2"/>
        </w:numPr>
        <w:spacing w:after="5" w:line="249" w:lineRule="auto"/>
        <w:ind w:hanging="360"/>
      </w:pPr>
      <w:r>
        <w:t>For hospital beds: Device will be installed per FDA guidelines</w:t>
      </w:r>
    </w:p>
    <w:p w14:paraId="7483699B" w14:textId="7937362F" w:rsidR="00010E8B" w:rsidRDefault="00010E8B" w:rsidP="00010E8B">
      <w:pPr>
        <w:numPr>
          <w:ilvl w:val="1"/>
          <w:numId w:val="2"/>
        </w:numPr>
        <w:spacing w:after="5" w:line="249" w:lineRule="auto"/>
        <w:ind w:hanging="360"/>
      </w:pPr>
      <w:r>
        <w:t>For non-hospital beds: Devices will be installed according to the device manufacturer’s instructions.</w:t>
      </w:r>
    </w:p>
    <w:p w14:paraId="3B001474" w14:textId="77777777" w:rsidR="00010E8B" w:rsidRDefault="00010E8B" w:rsidP="00010E8B">
      <w:pPr>
        <w:numPr>
          <w:ilvl w:val="0"/>
          <w:numId w:val="2"/>
        </w:numPr>
        <w:spacing w:after="5" w:line="249" w:lineRule="auto"/>
        <w:ind w:hanging="360"/>
      </w:pPr>
      <w:r>
        <w:t xml:space="preserve">Documentation will be entered in the resident’s record to include: </w:t>
      </w:r>
    </w:p>
    <w:p w14:paraId="0D1D8454" w14:textId="77777777" w:rsidR="00010E8B" w:rsidRDefault="00010E8B" w:rsidP="00010E8B">
      <w:pPr>
        <w:numPr>
          <w:ilvl w:val="1"/>
          <w:numId w:val="2"/>
        </w:numPr>
        <w:spacing w:after="5" w:line="249" w:lineRule="auto"/>
        <w:ind w:hanging="360"/>
      </w:pPr>
      <w:r>
        <w:t xml:space="preserve">Results of the assessment </w:t>
      </w:r>
    </w:p>
    <w:p w14:paraId="406A4A5B" w14:textId="04A61250" w:rsidR="00010E8B" w:rsidRPr="00010E8B" w:rsidRDefault="00010E8B" w:rsidP="00010E8B">
      <w:pPr>
        <w:numPr>
          <w:ilvl w:val="1"/>
          <w:numId w:val="2"/>
        </w:numPr>
        <w:spacing w:after="5" w:line="249" w:lineRule="auto"/>
        <w:ind w:hanging="360"/>
      </w:pPr>
      <w:r>
        <w:t>Discussion with resident/</w:t>
      </w:r>
      <w:r w:rsidR="00F15D0C">
        <w:t>responsible party</w:t>
      </w:r>
      <w:r>
        <w:t xml:space="preserve"> regarding risks and benefits and </w:t>
      </w:r>
      <w:r w:rsidRPr="00010E8B">
        <w:t>alternatives considered / recommended</w:t>
      </w:r>
    </w:p>
    <w:p w14:paraId="48B3559B" w14:textId="77777777" w:rsidR="00010E8B" w:rsidRDefault="00010E8B" w:rsidP="00010E8B">
      <w:pPr>
        <w:numPr>
          <w:ilvl w:val="1"/>
          <w:numId w:val="2"/>
        </w:numPr>
        <w:spacing w:after="5" w:line="249" w:lineRule="auto"/>
        <w:ind w:hanging="360"/>
      </w:pPr>
      <w:r>
        <w:t xml:space="preserve">Decision made/outcome of discussion. </w:t>
      </w:r>
    </w:p>
    <w:p w14:paraId="22E7FF44" w14:textId="3C262935" w:rsidR="00010E8B" w:rsidRDefault="00010E8B" w:rsidP="00010E8B">
      <w:pPr>
        <w:numPr>
          <w:ilvl w:val="0"/>
          <w:numId w:val="2"/>
        </w:numPr>
        <w:spacing w:after="211" w:line="249" w:lineRule="auto"/>
        <w:ind w:hanging="360"/>
      </w:pPr>
      <w:r>
        <w:lastRenderedPageBreak/>
        <w:t xml:space="preserve">Staff will be educated to report to a licensed nurse immediately if the device is found to be loose or malfunctioning. </w:t>
      </w:r>
      <w:r w:rsidRPr="00B646A8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B646A8">
        <w:rPr>
          <w:rFonts w:ascii="Times New Roman" w:eastAsia="Times New Roman" w:hAnsi="Times New Roman" w:cs="Times New Roman"/>
          <w:sz w:val="20"/>
        </w:rPr>
        <w:tab/>
      </w:r>
    </w:p>
    <w:p w14:paraId="54FB4071" w14:textId="308D3D81" w:rsidR="00010E8B" w:rsidRDefault="00010E8B" w:rsidP="00010E8B">
      <w:pPr>
        <w:numPr>
          <w:ilvl w:val="0"/>
          <w:numId w:val="2"/>
        </w:numPr>
        <w:spacing w:after="5" w:line="249" w:lineRule="auto"/>
        <w:ind w:hanging="360"/>
      </w:pPr>
      <w:r>
        <w:t xml:space="preserve">Physical devices will be assessed for safety during each re-assessment.  If there are any safety issues identified, the Director of Health Services, or Housing Director will be notified immediately. </w:t>
      </w:r>
    </w:p>
    <w:p w14:paraId="312D16C1" w14:textId="77777777" w:rsidR="00010E8B" w:rsidRDefault="00010E8B" w:rsidP="00010E8B">
      <w:pPr>
        <w:numPr>
          <w:ilvl w:val="0"/>
          <w:numId w:val="2"/>
        </w:numPr>
        <w:spacing w:after="5" w:line="249" w:lineRule="auto"/>
        <w:ind w:hanging="360"/>
      </w:pPr>
      <w:r>
        <w:t>Maintenance staff will inspect bed and mattress for zone safety on a monthly basis.</w:t>
      </w:r>
    </w:p>
    <w:p w14:paraId="4E1547CB" w14:textId="673D9423" w:rsidR="00010E8B" w:rsidRPr="00010E8B" w:rsidRDefault="00010E8B" w:rsidP="00010E8B">
      <w:pPr>
        <w:numPr>
          <w:ilvl w:val="0"/>
          <w:numId w:val="2"/>
        </w:numPr>
        <w:spacing w:after="5" w:line="249" w:lineRule="auto"/>
        <w:ind w:hanging="360"/>
      </w:pPr>
      <w:r>
        <w:t>Maintenance staff will inspect bed devices monthly.  If the</w:t>
      </w:r>
      <w:r w:rsidRPr="00010E8B">
        <w:t xml:space="preserve"> device has become loose / unstable in any</w:t>
      </w:r>
      <w:r w:rsidR="00F15D0C">
        <w:t xml:space="preserve"> </w:t>
      </w:r>
      <w:proofErr w:type="gramStart"/>
      <w:r w:rsidRPr="00010E8B">
        <w:t>way</w:t>
      </w:r>
      <w:proofErr w:type="gramEnd"/>
      <w:r w:rsidRPr="00010E8B">
        <w:t xml:space="preserve"> it will be removed and the </w:t>
      </w:r>
      <w:r>
        <w:t>responsible party</w:t>
      </w:r>
      <w:r w:rsidRPr="00010E8B">
        <w:t xml:space="preserve"> will be notified.</w:t>
      </w:r>
      <w:r>
        <w:t xml:space="preserve"> </w:t>
      </w:r>
      <w:r>
        <w:rPr>
          <w:i/>
          <w:iCs/>
          <w:color w:val="C00000"/>
        </w:rPr>
        <w:t>Or you may choose to have maintenance attempt to secure the device and if unable remove it and notify the responsible party.</w:t>
      </w:r>
    </w:p>
    <w:p w14:paraId="3766AB20" w14:textId="1DBED539" w:rsidR="00010E8B" w:rsidRPr="00010E8B" w:rsidRDefault="00010E8B" w:rsidP="00010E8B">
      <w:pPr>
        <w:numPr>
          <w:ilvl w:val="0"/>
          <w:numId w:val="2"/>
        </w:numPr>
        <w:spacing w:after="5" w:line="249" w:lineRule="auto"/>
        <w:ind w:hanging="360"/>
        <w:rPr>
          <w:i/>
          <w:iCs/>
          <w:color w:val="C00000"/>
        </w:rPr>
      </w:pPr>
      <w:r>
        <w:rPr>
          <w:color w:val="000000"/>
        </w:rPr>
        <w:t xml:space="preserve">Two times per year the Clinical Nurse Supervisor, or designee, will check the FDA website for recalls on bed assistive devices.  </w:t>
      </w:r>
      <w:r>
        <w:rPr>
          <w:i/>
          <w:iCs/>
          <w:color w:val="C00000"/>
        </w:rPr>
        <w:t>Customize how you’ll monitor for this – you can either</w:t>
      </w:r>
      <w:r>
        <w:rPr>
          <w:color w:val="000000"/>
        </w:rPr>
        <w:t xml:space="preserve"> </w:t>
      </w:r>
      <w:hyperlink r:id="rId5" w:history="1">
        <w:r w:rsidRPr="00010E8B">
          <w:rPr>
            <w:rStyle w:val="Hyperlink"/>
          </w:rPr>
          <w:t>Search the FDA Data Base</w:t>
        </w:r>
      </w:hyperlink>
      <w:r>
        <w:rPr>
          <w:color w:val="000000"/>
        </w:rPr>
        <w:t xml:space="preserve"> </w:t>
      </w:r>
      <w:r w:rsidRPr="00010E8B">
        <w:rPr>
          <w:i/>
          <w:iCs/>
          <w:color w:val="C00000"/>
        </w:rPr>
        <w:t>or sign up for the</w:t>
      </w:r>
      <w:r w:rsidRPr="00010E8B">
        <w:rPr>
          <w:color w:val="C00000"/>
        </w:rPr>
        <w:t xml:space="preserve"> </w:t>
      </w:r>
      <w:hyperlink r:id="rId6" w:history="1">
        <w:r w:rsidRPr="00010E8B">
          <w:rPr>
            <w:rStyle w:val="Hyperlink"/>
          </w:rPr>
          <w:t>FDA Email Subscription</w:t>
        </w:r>
      </w:hyperlink>
      <w:r>
        <w:rPr>
          <w:color w:val="000000"/>
        </w:rPr>
        <w:t xml:space="preserve"> </w:t>
      </w:r>
      <w:r w:rsidRPr="00010E8B">
        <w:rPr>
          <w:i/>
          <w:iCs/>
          <w:color w:val="C00000"/>
        </w:rPr>
        <w:t>where you can choose your alerts and device/safety is one option.</w:t>
      </w:r>
    </w:p>
    <w:p w14:paraId="18582DD0" w14:textId="3214B091" w:rsidR="00010E8B" w:rsidRPr="00010E8B" w:rsidRDefault="00010E8B" w:rsidP="00010E8B">
      <w:pPr>
        <w:numPr>
          <w:ilvl w:val="0"/>
          <w:numId w:val="2"/>
        </w:numPr>
        <w:spacing w:after="5" w:line="249" w:lineRule="auto"/>
        <w:ind w:hanging="360"/>
        <w:rPr>
          <w:i/>
          <w:iCs/>
          <w:color w:val="C00000"/>
        </w:rPr>
      </w:pPr>
      <w:r w:rsidRPr="00010E8B">
        <w:rPr>
          <w:i/>
          <w:iCs/>
          <w:color w:val="C00000"/>
        </w:rPr>
        <w:t>If a licensed nurse, or other designee believes that the assistive device places the resident at risk for harm (EX: Unable to use safely etc) it will be removed and the family will be notified.</w:t>
      </w:r>
      <w:r w:rsidRPr="00010E8B">
        <w:rPr>
          <w:i/>
          <w:iCs/>
          <w:dstrike/>
        </w:rPr>
        <w:br/>
      </w:r>
    </w:p>
    <w:p w14:paraId="09E23425" w14:textId="77777777" w:rsidR="00010E8B" w:rsidRDefault="00010E8B" w:rsidP="00010E8B">
      <w:pPr>
        <w:spacing w:after="252"/>
      </w:pPr>
      <w:r>
        <w:rPr>
          <w:rFonts w:ascii="Times New Roman" w:eastAsia="Times New Roman" w:hAnsi="Times New Roman" w:cs="Times New Roman"/>
          <w:b/>
          <w:u w:val="single" w:color="000000"/>
        </w:rPr>
        <w:t>Information from FDA Regarding Side Rails: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5F73008" w14:textId="77777777" w:rsidR="00010E8B" w:rsidRDefault="00010E8B" w:rsidP="00010E8B">
      <w:pPr>
        <w:spacing w:after="263" w:line="248" w:lineRule="auto"/>
      </w:pPr>
      <w:r>
        <w:rPr>
          <w:rFonts w:ascii="Times New Roman" w:eastAsia="Times New Roman" w:hAnsi="Times New Roman" w:cs="Times New Roman"/>
        </w:rPr>
        <w:t xml:space="preserve">In 2006, the Food and Drug Administration (FDA) released its recommendations for reducing entrapments. The FDA identified seven “zones of entrapment” and recommended maximum dimensions for four of the zones. </w:t>
      </w:r>
    </w:p>
    <w:p w14:paraId="36FA6C69" w14:textId="2B0963F8" w:rsidR="00010E8B" w:rsidRDefault="00010E8B" w:rsidP="00010E8B">
      <w:pPr>
        <w:spacing w:after="204"/>
        <w:ind w:right="4179" w:firstLine="2070"/>
      </w:pPr>
      <w:r>
        <w:rPr>
          <w:noProof/>
        </w:rPr>
        <w:drawing>
          <wp:inline distT="0" distB="0" distL="0" distR="0" wp14:anchorId="508EB839" wp14:editId="0E3E4BC3">
            <wp:extent cx="3627121" cy="1999488"/>
            <wp:effectExtent l="0" t="0" r="0" b="0"/>
            <wp:docPr id="150" name="Picture 150" descr="A drawing of a shopping car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 descr="A drawing of a shopping cart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121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DD940" w14:textId="77777777" w:rsidR="00010E8B" w:rsidRDefault="00010E8B" w:rsidP="00010E8B">
      <w:pPr>
        <w:spacing w:after="275" w:line="248" w:lineRule="auto"/>
      </w:pPr>
      <w:r>
        <w:rPr>
          <w:rFonts w:ascii="Times New Roman" w:eastAsia="Times New Roman" w:hAnsi="Times New Roman" w:cs="Times New Roman"/>
        </w:rPr>
        <w:t xml:space="preserve">In the diagram above, zones 1, 2, and 3 are areas where a person’s head can be caught within the side rail or between the side rail and the mattress. Zone 4 is an area where a person’s neck can be caught between the side rail and the mattress. </w:t>
      </w:r>
    </w:p>
    <w:p w14:paraId="542455AC" w14:textId="77777777" w:rsidR="00010E8B" w:rsidRDefault="00010E8B" w:rsidP="00010E8B">
      <w:pPr>
        <w:spacing w:after="255"/>
        <w:ind w:left="-5"/>
      </w:pPr>
      <w:r>
        <w:rPr>
          <w:rFonts w:ascii="Times New Roman" w:eastAsia="Times New Roman" w:hAnsi="Times New Roman" w:cs="Times New Roman"/>
          <w:b/>
        </w:rPr>
        <w:t>The FDA recommends that the dimensions in Zones 1-4 be less than: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F79721" w14:textId="77777777" w:rsidR="00010E8B" w:rsidRDefault="00010E8B" w:rsidP="00010E8B">
      <w:pPr>
        <w:numPr>
          <w:ilvl w:val="0"/>
          <w:numId w:val="3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Zone 1: Within the Rail (4.75”) </w:t>
      </w:r>
    </w:p>
    <w:p w14:paraId="056D9932" w14:textId="77777777" w:rsidR="00010E8B" w:rsidRDefault="00010E8B" w:rsidP="00010E8B">
      <w:pPr>
        <w:numPr>
          <w:ilvl w:val="0"/>
          <w:numId w:val="3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Zone 2: Under the Rail, Between the Rail Supports or Next to a Single Rail Support (4.75”) </w:t>
      </w:r>
    </w:p>
    <w:p w14:paraId="589ABC39" w14:textId="77777777" w:rsidR="00010E8B" w:rsidRDefault="00010E8B" w:rsidP="00010E8B">
      <w:pPr>
        <w:numPr>
          <w:ilvl w:val="0"/>
          <w:numId w:val="3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Zone 3: Between the Rail and the Mattress (4.75”) </w:t>
      </w:r>
    </w:p>
    <w:p w14:paraId="4333C53A" w14:textId="77777777" w:rsidR="00010E8B" w:rsidRDefault="00010E8B" w:rsidP="00010E8B">
      <w:pPr>
        <w:numPr>
          <w:ilvl w:val="0"/>
          <w:numId w:val="3"/>
        </w:numPr>
        <w:spacing w:after="265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Zone 4: Under the Rail, at the Ends of the Rail (2 and 3/8” and greater than 60° angle) </w:t>
      </w:r>
    </w:p>
    <w:p w14:paraId="342218D7" w14:textId="77777777" w:rsidR="00010E8B" w:rsidRDefault="00010E8B" w:rsidP="00010E8B">
      <w:pPr>
        <w:spacing w:after="255"/>
        <w:ind w:left="-5"/>
      </w:pPr>
      <w:r>
        <w:rPr>
          <w:rFonts w:ascii="Times New Roman" w:eastAsia="Times New Roman" w:hAnsi="Times New Roman" w:cs="Times New Roman"/>
          <w:b/>
        </w:rPr>
        <w:lastRenderedPageBreak/>
        <w:t>The FDA has not established recommended maximum dimensions for Zones 5-7: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1FB09F" w14:textId="77777777" w:rsidR="00010E8B" w:rsidRDefault="00010E8B" w:rsidP="00010E8B">
      <w:pPr>
        <w:numPr>
          <w:ilvl w:val="0"/>
          <w:numId w:val="3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Zone 5: Between Split Bed Rails </w:t>
      </w:r>
    </w:p>
    <w:p w14:paraId="29C7864D" w14:textId="77777777" w:rsidR="00010E8B" w:rsidRDefault="00010E8B" w:rsidP="00010E8B">
      <w:pPr>
        <w:numPr>
          <w:ilvl w:val="0"/>
          <w:numId w:val="3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Zone 6: Between the End of the Rail and the Side Edge of the Head or Foot Board </w:t>
      </w:r>
    </w:p>
    <w:p w14:paraId="6677F6D6" w14:textId="77777777" w:rsidR="00010E8B" w:rsidRDefault="00010E8B" w:rsidP="00010E8B">
      <w:pPr>
        <w:numPr>
          <w:ilvl w:val="0"/>
          <w:numId w:val="3"/>
        </w:numPr>
        <w:spacing w:after="222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Zone 7: Between the Head or Foot Board and the Mattress End </w:t>
      </w:r>
    </w:p>
    <w:p w14:paraId="234558CB" w14:textId="77777777" w:rsidR="00010E8B" w:rsidRPr="00683A4A" w:rsidRDefault="00010E8B" w:rsidP="00010E8B">
      <w:pPr>
        <w:ind w:left="720" w:hanging="720"/>
        <w:rPr>
          <w:rFonts w:ascii="Arial" w:hAnsi="Arial" w:cs="Arial"/>
          <w:color w:val="000000"/>
        </w:rPr>
      </w:pPr>
    </w:p>
    <w:p w14:paraId="366C308C" w14:textId="77777777" w:rsidR="00010E8B" w:rsidRPr="00683A4A" w:rsidRDefault="00010E8B" w:rsidP="0001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83A4A">
        <w:rPr>
          <w:rFonts w:ascii="Arial" w:hAnsi="Arial" w:cs="Arial"/>
          <w:b/>
        </w:rPr>
        <w:t>Effective Date:</w:t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br/>
        <w:t>Reviewed By:</w:t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  <w:t>Date:</w:t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br/>
        <w:t>Revised By:</w:t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  <w:t>Date:</w:t>
      </w:r>
    </w:p>
    <w:p w14:paraId="2577269C" w14:textId="489464AE" w:rsidR="00284CDF" w:rsidRDefault="00B67479" w:rsidP="00010E8B"/>
    <w:sectPr w:rsidR="00284CDF" w:rsidSect="00B45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7370"/>
    <w:multiLevelType w:val="hybridMultilevel"/>
    <w:tmpl w:val="C3F62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33D6"/>
    <w:multiLevelType w:val="hybridMultilevel"/>
    <w:tmpl w:val="B6DEEC8E"/>
    <w:lvl w:ilvl="0" w:tplc="B2ACF46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01484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A62B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947A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72FB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A5F4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E19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AA04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CD74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B53875"/>
    <w:multiLevelType w:val="hybridMultilevel"/>
    <w:tmpl w:val="19D44954"/>
    <w:lvl w:ilvl="0" w:tplc="6E96F3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F8CB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D652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E48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AE7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80AB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CA56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D296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0CC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8104129">
    <w:abstractNumId w:val="0"/>
  </w:num>
  <w:num w:numId="2" w16cid:durableId="1880900171">
    <w:abstractNumId w:val="1"/>
  </w:num>
  <w:num w:numId="3" w16cid:durableId="13908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8B"/>
    <w:rsid w:val="00010E8B"/>
    <w:rsid w:val="00184ED8"/>
    <w:rsid w:val="00A570E6"/>
    <w:rsid w:val="00A70D65"/>
    <w:rsid w:val="00A73199"/>
    <w:rsid w:val="00A960ED"/>
    <w:rsid w:val="00AC5D09"/>
    <w:rsid w:val="00B45486"/>
    <w:rsid w:val="00B67479"/>
    <w:rsid w:val="00C82A5C"/>
    <w:rsid w:val="00F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CC35"/>
  <w14:defaultImageDpi w14:val="32767"/>
  <w15:chartTrackingRefBased/>
  <w15:docId w15:val="{6DE91DD5-D6BA-5144-9B4F-983727EE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8B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H1 Title"/>
    <w:basedOn w:val="Normal"/>
    <w:next w:val="Normal"/>
    <w:link w:val="Heading1Char"/>
    <w:uiPriority w:val="9"/>
    <w:qFormat/>
    <w:rsid w:val="00010E8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9"/>
    <w:rsid w:val="00010E8B"/>
    <w:rPr>
      <w:rFonts w:ascii="Arial" w:eastAsia="Times New Roman" w:hAnsi="Arial" w:cs="Arial"/>
      <w:sz w:val="34"/>
      <w:szCs w:val="34"/>
    </w:rPr>
  </w:style>
  <w:style w:type="paragraph" w:styleId="ListParagraph">
    <w:name w:val="List Paragraph"/>
    <w:basedOn w:val="Normal"/>
    <w:uiPriority w:val="34"/>
    <w:qFormat/>
    <w:rsid w:val="00010E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E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10E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D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www.fda.gov/about-fda/contact-fda/get-email-updates" TargetMode="External"/><Relationship Id="rId5" Type="http://schemas.openxmlformats.org/officeDocument/2006/relationships/hyperlink" Target="mailto:https://www.accessdata.fda.gov/scripts/cdrh/cfdocs/cfRES/res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Everson</dc:creator>
  <cp:keywords/>
  <dc:description/>
  <cp:lastModifiedBy>Kari Everson</cp:lastModifiedBy>
  <cp:revision>2</cp:revision>
  <dcterms:created xsi:type="dcterms:W3CDTF">2022-06-24T13:22:00Z</dcterms:created>
  <dcterms:modified xsi:type="dcterms:W3CDTF">2022-06-24T13:22:00Z</dcterms:modified>
</cp:coreProperties>
</file>