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1C" w:rsidRDefault="0092091C" w:rsidP="0092091C">
      <w:pPr>
        <w:pStyle w:val="Body"/>
        <w:spacing w:after="0" w:line="240" w:lineRule="auto"/>
        <w:contextualSpacing/>
        <w:jc w:val="center"/>
        <w:rPr>
          <w:rFonts w:ascii="Trebuchet MS"/>
          <w:b/>
          <w:bCs/>
          <w:sz w:val="28"/>
          <w:szCs w:val="28"/>
        </w:rPr>
      </w:pPr>
      <w:bookmarkStart w:id="0" w:name="_GoBack"/>
      <w:bookmarkEnd w:id="0"/>
      <w:r>
        <w:rPr>
          <w:rFonts w:ascii="Trebuchet MS"/>
          <w:b/>
          <w:bCs/>
          <w:sz w:val="28"/>
          <w:szCs w:val="28"/>
        </w:rPr>
        <w:t>LTC Payment Reform Legislation</w:t>
      </w:r>
    </w:p>
    <w:p w:rsidR="0092091C" w:rsidRDefault="0092091C" w:rsidP="0092091C">
      <w:pPr>
        <w:pStyle w:val="Body"/>
        <w:spacing w:after="0" w:line="240" w:lineRule="auto"/>
        <w:contextualSpacing/>
        <w:rPr>
          <w:rFonts w:ascii="Trebuchet MS"/>
          <w:b/>
          <w:bCs/>
          <w:sz w:val="28"/>
          <w:szCs w:val="28"/>
        </w:rPr>
      </w:pPr>
    </w:p>
    <w:p w:rsidR="0092091C" w:rsidRPr="007D0377" w:rsidRDefault="0092091C" w:rsidP="0092091C">
      <w:pPr>
        <w:pStyle w:val="Body"/>
        <w:spacing w:after="0" w:line="240" w:lineRule="auto"/>
        <w:contextualSpacing/>
        <w:rPr>
          <w:b/>
          <w:bCs/>
          <w:sz w:val="28"/>
          <w:szCs w:val="28"/>
        </w:rPr>
      </w:pPr>
      <w:r w:rsidRPr="007D0377">
        <w:rPr>
          <w:rFonts w:ascii="Trebuchet MS"/>
          <w:b/>
          <w:bCs/>
          <w:sz w:val="28"/>
          <w:szCs w:val="28"/>
        </w:rPr>
        <w:t>Overview</w:t>
      </w:r>
    </w:p>
    <w:p w:rsidR="0092091C" w:rsidRDefault="0092091C" w:rsidP="0092091C">
      <w:pPr>
        <w:pStyle w:val="Body"/>
        <w:spacing w:after="0" w:line="240" w:lineRule="auto"/>
        <w:contextualSpacing/>
        <w:rPr>
          <w:color w:val="auto"/>
          <w:sz w:val="24"/>
          <w:szCs w:val="24"/>
        </w:rPr>
      </w:pPr>
      <w:r w:rsidRPr="007E2A05">
        <w:rPr>
          <w:color w:val="auto"/>
          <w:sz w:val="24"/>
          <w:szCs w:val="24"/>
        </w:rPr>
        <w:t>This year, another 60,000 Minnesotans will turn 65. Minnesota's senior population is growing so quickly that it will double during the time that baby boomers will retire -- eventually becoming one-quarter of Minnesota's population. This group of seniors is expected to live</w:t>
      </w:r>
      <w:r>
        <w:rPr>
          <w:color w:val="auto"/>
          <w:sz w:val="24"/>
          <w:szCs w:val="24"/>
        </w:rPr>
        <w:t xml:space="preserve"> longer</w:t>
      </w:r>
      <w:r w:rsidRPr="007E2A05">
        <w:rPr>
          <w:color w:val="auto"/>
          <w:sz w:val="24"/>
          <w:szCs w:val="24"/>
        </w:rPr>
        <w:t xml:space="preserve">, and likely will require more care, than any group of seniors in the state's history. </w:t>
      </w:r>
    </w:p>
    <w:p w:rsidR="0092091C" w:rsidRPr="007E2A05" w:rsidRDefault="0092091C" w:rsidP="0092091C">
      <w:pPr>
        <w:pStyle w:val="Body"/>
        <w:spacing w:after="0" w:line="240" w:lineRule="auto"/>
        <w:contextualSpacing/>
        <w:rPr>
          <w:color w:val="auto"/>
          <w:sz w:val="24"/>
          <w:szCs w:val="24"/>
        </w:rPr>
      </w:pPr>
    </w:p>
    <w:p w:rsidR="0092091C" w:rsidRPr="007E2A05" w:rsidRDefault="0092091C" w:rsidP="0092091C">
      <w:pPr>
        <w:pStyle w:val="Body"/>
        <w:spacing w:after="0" w:line="240" w:lineRule="auto"/>
        <w:contextualSpacing/>
        <w:rPr>
          <w:color w:val="auto"/>
          <w:sz w:val="24"/>
          <w:szCs w:val="24"/>
        </w:rPr>
      </w:pPr>
      <w:r w:rsidRPr="007E2A05">
        <w:rPr>
          <w:color w:val="auto"/>
          <w:sz w:val="24"/>
          <w:szCs w:val="24"/>
        </w:rPr>
        <w:t>The Age W</w:t>
      </w:r>
      <w:r>
        <w:rPr>
          <w:color w:val="auto"/>
          <w:sz w:val="24"/>
          <w:szCs w:val="24"/>
        </w:rPr>
        <w:t xml:space="preserve">ave has arrived, and it will </w:t>
      </w:r>
      <w:r w:rsidRPr="007E2A05">
        <w:rPr>
          <w:color w:val="auto"/>
          <w:sz w:val="24"/>
          <w:szCs w:val="24"/>
        </w:rPr>
        <w:t xml:space="preserve">change how we think about senior care. The current funding system for long term care in Minnesota will </w:t>
      </w:r>
      <w:r>
        <w:rPr>
          <w:color w:val="auto"/>
          <w:sz w:val="24"/>
          <w:szCs w:val="24"/>
        </w:rPr>
        <w:t xml:space="preserve">not </w:t>
      </w:r>
      <w:r w:rsidRPr="007E2A05">
        <w:rPr>
          <w:color w:val="auto"/>
          <w:sz w:val="24"/>
          <w:szCs w:val="24"/>
        </w:rPr>
        <w:t xml:space="preserve">be able to serve the needs of seniors, caregivers or the state. </w:t>
      </w:r>
      <w:r>
        <w:rPr>
          <w:color w:val="auto"/>
          <w:sz w:val="24"/>
          <w:szCs w:val="24"/>
        </w:rPr>
        <w:t>However, a</w:t>
      </w:r>
      <w:r w:rsidRPr="007E2A05">
        <w:rPr>
          <w:color w:val="auto"/>
          <w:sz w:val="24"/>
          <w:szCs w:val="24"/>
        </w:rPr>
        <w:t xml:space="preserve">ctions we take this legislative session </w:t>
      </w:r>
      <w:r>
        <w:rPr>
          <w:color w:val="auto"/>
          <w:sz w:val="24"/>
          <w:szCs w:val="24"/>
        </w:rPr>
        <w:t>can</w:t>
      </w:r>
      <w:r w:rsidRPr="007E2A05">
        <w:rPr>
          <w:color w:val="auto"/>
          <w:sz w:val="24"/>
          <w:szCs w:val="24"/>
        </w:rPr>
        <w:t xml:space="preserve"> create a permanent solution that ensures that the full cost of quality care is covered for every senior in Minnesota, while providing incentives for innovation and efficiency that will preserve the quality of life for our seniors </w:t>
      </w:r>
      <w:r>
        <w:rPr>
          <w:color w:val="auto"/>
          <w:sz w:val="24"/>
          <w:szCs w:val="24"/>
        </w:rPr>
        <w:t xml:space="preserve">-- </w:t>
      </w:r>
      <w:r w:rsidRPr="007E2A05">
        <w:rPr>
          <w:color w:val="auto"/>
          <w:sz w:val="24"/>
          <w:szCs w:val="24"/>
        </w:rPr>
        <w:t xml:space="preserve">today and in the future. </w:t>
      </w:r>
    </w:p>
    <w:p w:rsidR="0092091C" w:rsidRPr="007E2A05" w:rsidRDefault="0092091C" w:rsidP="0092091C">
      <w:pPr>
        <w:pStyle w:val="Body"/>
        <w:spacing w:after="0" w:line="240" w:lineRule="auto"/>
        <w:contextualSpacing/>
        <w:rPr>
          <w:rFonts w:eastAsia="Trebuchet MS" w:cs="Trebuchet MS"/>
          <w:b/>
          <w:bCs/>
          <w:color w:val="auto"/>
          <w:sz w:val="24"/>
          <w:szCs w:val="24"/>
        </w:rPr>
      </w:pPr>
    </w:p>
    <w:p w:rsidR="0092091C" w:rsidRPr="007D0377" w:rsidRDefault="0092091C" w:rsidP="0092091C">
      <w:pPr>
        <w:pStyle w:val="Body"/>
        <w:spacing w:after="0" w:line="240" w:lineRule="auto"/>
        <w:contextualSpacing/>
        <w:rPr>
          <w:rFonts w:eastAsia="Trebuchet MS" w:cs="Trebuchet MS"/>
          <w:b/>
          <w:bCs/>
          <w:color w:val="auto"/>
          <w:sz w:val="28"/>
          <w:szCs w:val="28"/>
        </w:rPr>
      </w:pPr>
      <w:r w:rsidRPr="007D0377">
        <w:rPr>
          <w:b/>
          <w:bCs/>
          <w:color w:val="auto"/>
          <w:sz w:val="28"/>
          <w:szCs w:val="28"/>
        </w:rPr>
        <w:t>2015 Legislative Goals</w:t>
      </w:r>
    </w:p>
    <w:p w:rsidR="0092091C" w:rsidRPr="007E2A05" w:rsidRDefault="0092091C" w:rsidP="0092091C">
      <w:pPr>
        <w:pStyle w:val="Body"/>
        <w:numPr>
          <w:ilvl w:val="0"/>
          <w:numId w:val="11"/>
        </w:numPr>
        <w:spacing w:after="0" w:line="240" w:lineRule="auto"/>
        <w:ind w:left="360" w:hanging="360"/>
        <w:contextualSpacing/>
        <w:rPr>
          <w:color w:val="auto"/>
          <w:sz w:val="24"/>
          <w:szCs w:val="24"/>
        </w:rPr>
      </w:pPr>
      <w:r w:rsidRPr="007E2A05">
        <w:rPr>
          <w:color w:val="auto"/>
          <w:sz w:val="24"/>
          <w:szCs w:val="24"/>
        </w:rPr>
        <w:t>Preserve Access to the Continuum of Care</w:t>
      </w:r>
    </w:p>
    <w:p w:rsidR="0092091C" w:rsidRPr="007E2A05" w:rsidRDefault="0092091C" w:rsidP="0092091C">
      <w:pPr>
        <w:pStyle w:val="Body"/>
        <w:numPr>
          <w:ilvl w:val="0"/>
          <w:numId w:val="11"/>
        </w:numPr>
        <w:spacing w:after="0" w:line="240" w:lineRule="auto"/>
        <w:ind w:left="360" w:hanging="360"/>
        <w:contextualSpacing/>
        <w:rPr>
          <w:color w:val="auto"/>
          <w:sz w:val="24"/>
          <w:szCs w:val="24"/>
        </w:rPr>
      </w:pPr>
      <w:r w:rsidRPr="007E2A05">
        <w:rPr>
          <w:color w:val="auto"/>
          <w:sz w:val="24"/>
          <w:szCs w:val="24"/>
        </w:rPr>
        <w:t>Invest in Recruitment and Retention of Caregivers</w:t>
      </w:r>
    </w:p>
    <w:p w:rsidR="0092091C" w:rsidRPr="007E2A05" w:rsidRDefault="0092091C" w:rsidP="0092091C">
      <w:pPr>
        <w:pStyle w:val="Body"/>
        <w:numPr>
          <w:ilvl w:val="0"/>
          <w:numId w:val="11"/>
        </w:numPr>
        <w:spacing w:after="0" w:line="240" w:lineRule="auto"/>
        <w:ind w:left="360" w:hanging="360"/>
        <w:contextualSpacing/>
        <w:rPr>
          <w:color w:val="auto"/>
          <w:sz w:val="24"/>
          <w:szCs w:val="24"/>
        </w:rPr>
      </w:pPr>
      <w:r w:rsidRPr="007E2A05">
        <w:rPr>
          <w:color w:val="auto"/>
          <w:sz w:val="24"/>
          <w:szCs w:val="24"/>
        </w:rPr>
        <w:t>Reward Quality Care</w:t>
      </w:r>
    </w:p>
    <w:p w:rsidR="0092091C" w:rsidRPr="007E2A05" w:rsidRDefault="0092091C" w:rsidP="0092091C">
      <w:pPr>
        <w:pStyle w:val="Body"/>
        <w:numPr>
          <w:ilvl w:val="0"/>
          <w:numId w:val="11"/>
        </w:numPr>
        <w:spacing w:after="0" w:line="240" w:lineRule="auto"/>
        <w:ind w:left="360" w:hanging="360"/>
        <w:contextualSpacing/>
        <w:rPr>
          <w:color w:val="auto"/>
          <w:sz w:val="24"/>
          <w:szCs w:val="24"/>
        </w:rPr>
      </w:pPr>
      <w:r w:rsidRPr="007E2A05">
        <w:rPr>
          <w:color w:val="auto"/>
          <w:sz w:val="24"/>
          <w:szCs w:val="24"/>
        </w:rPr>
        <w:t>Preserve Dignity and Quality of Life, Regardless of How and Where Services Are Delivered</w:t>
      </w:r>
    </w:p>
    <w:p w:rsidR="0092091C" w:rsidRDefault="0092091C" w:rsidP="0092091C">
      <w:pPr>
        <w:pStyle w:val="Body"/>
        <w:numPr>
          <w:ilvl w:val="0"/>
          <w:numId w:val="11"/>
        </w:numPr>
        <w:spacing w:after="0" w:line="240" w:lineRule="auto"/>
        <w:ind w:left="360" w:hanging="360"/>
        <w:contextualSpacing/>
        <w:rPr>
          <w:sz w:val="24"/>
          <w:szCs w:val="24"/>
        </w:rPr>
      </w:pPr>
      <w:r w:rsidRPr="000E3073">
        <w:rPr>
          <w:sz w:val="24"/>
          <w:szCs w:val="24"/>
        </w:rPr>
        <w:t xml:space="preserve">Institute a Payment System That Fully Funds the True Cost of Care - Today and Tomorrow </w:t>
      </w:r>
    </w:p>
    <w:p w:rsidR="0092091C" w:rsidRPr="000E3073" w:rsidRDefault="0092091C" w:rsidP="0092091C">
      <w:pPr>
        <w:pStyle w:val="Body"/>
        <w:spacing w:after="0" w:line="240" w:lineRule="auto"/>
        <w:ind w:left="360"/>
        <w:contextualSpacing/>
        <w:rPr>
          <w:sz w:val="24"/>
          <w:szCs w:val="24"/>
        </w:rPr>
      </w:pPr>
    </w:p>
    <w:p w:rsidR="0092091C" w:rsidRPr="007D0377" w:rsidRDefault="0092091C" w:rsidP="0092091C">
      <w:pPr>
        <w:pStyle w:val="Body"/>
        <w:spacing w:after="0" w:line="240" w:lineRule="auto"/>
        <w:contextualSpacing/>
        <w:rPr>
          <w:rFonts w:eastAsia="Trebuchet MS" w:cs="Trebuchet MS"/>
          <w:b/>
          <w:bCs/>
          <w:color w:val="auto"/>
          <w:sz w:val="28"/>
          <w:szCs w:val="28"/>
        </w:rPr>
      </w:pPr>
      <w:r w:rsidRPr="007D0377">
        <w:rPr>
          <w:b/>
          <w:bCs/>
          <w:color w:val="auto"/>
          <w:sz w:val="28"/>
          <w:szCs w:val="28"/>
        </w:rPr>
        <w:t>Payment Reform</w:t>
      </w:r>
    </w:p>
    <w:p w:rsidR="00F944F0" w:rsidRDefault="0092091C" w:rsidP="0092091C">
      <w:pPr>
        <w:pStyle w:val="Body"/>
        <w:spacing w:after="0" w:line="240" w:lineRule="auto"/>
        <w:contextualSpacing/>
        <w:rPr>
          <w:color w:val="auto"/>
          <w:sz w:val="24"/>
          <w:szCs w:val="24"/>
        </w:rPr>
      </w:pPr>
      <w:r w:rsidRPr="007E2A05">
        <w:rPr>
          <w:color w:val="auto"/>
          <w:sz w:val="24"/>
          <w:szCs w:val="24"/>
        </w:rPr>
        <w:t xml:space="preserve">Senator Tony Lourey (DFL-Kerrick) and Representative Joe Schomacker (R-Luverne) </w:t>
      </w:r>
      <w:r>
        <w:rPr>
          <w:color w:val="auto"/>
          <w:sz w:val="24"/>
          <w:szCs w:val="24"/>
        </w:rPr>
        <w:t>have introduced SF273/HF316 which</w:t>
      </w:r>
      <w:r w:rsidRPr="007E2A05">
        <w:rPr>
          <w:color w:val="auto"/>
          <w:sz w:val="24"/>
          <w:szCs w:val="24"/>
        </w:rPr>
        <w:t xml:space="preserve"> will change the way the state pays for services for older adults.  </w:t>
      </w:r>
      <w:r>
        <w:rPr>
          <w:color w:val="auto"/>
          <w:sz w:val="24"/>
          <w:szCs w:val="24"/>
        </w:rPr>
        <w:t xml:space="preserve">This bill is designed to </w:t>
      </w:r>
      <w:r w:rsidR="00F944F0">
        <w:rPr>
          <w:color w:val="auto"/>
          <w:sz w:val="24"/>
          <w:szCs w:val="24"/>
        </w:rPr>
        <w:t xml:space="preserve">address all of the goals listed above and to put into place effective payment systems that will serve the state, providers and consumers well as the state faces the age wave.  </w:t>
      </w:r>
    </w:p>
    <w:p w:rsidR="00F944F0" w:rsidRDefault="00F944F0" w:rsidP="0092091C">
      <w:pPr>
        <w:pStyle w:val="Body"/>
        <w:spacing w:after="0" w:line="240" w:lineRule="auto"/>
        <w:contextualSpacing/>
        <w:rPr>
          <w:color w:val="auto"/>
          <w:sz w:val="24"/>
          <w:szCs w:val="24"/>
        </w:rPr>
      </w:pPr>
    </w:p>
    <w:p w:rsidR="00F944F0" w:rsidRPr="007D0377" w:rsidRDefault="00F944F0" w:rsidP="00F944F0">
      <w:pPr>
        <w:pStyle w:val="Body"/>
        <w:spacing w:after="0" w:line="240" w:lineRule="auto"/>
        <w:contextualSpacing/>
        <w:rPr>
          <w:rFonts w:eastAsia="Trebuchet MS" w:cs="Trebuchet MS"/>
          <w:b/>
          <w:bCs/>
          <w:color w:val="auto"/>
          <w:sz w:val="28"/>
          <w:szCs w:val="28"/>
        </w:rPr>
      </w:pPr>
      <w:r>
        <w:rPr>
          <w:b/>
          <w:bCs/>
          <w:color w:val="auto"/>
          <w:sz w:val="28"/>
          <w:szCs w:val="28"/>
        </w:rPr>
        <w:t>Nursing Facility Rates</w:t>
      </w:r>
    </w:p>
    <w:p w:rsidR="0092091C" w:rsidRPr="007E2A05" w:rsidRDefault="0092091C" w:rsidP="0092091C">
      <w:pPr>
        <w:pStyle w:val="Body"/>
        <w:spacing w:after="0" w:line="240" w:lineRule="auto"/>
        <w:contextualSpacing/>
        <w:rPr>
          <w:color w:val="auto"/>
          <w:sz w:val="24"/>
          <w:szCs w:val="24"/>
        </w:rPr>
      </w:pPr>
      <w:r w:rsidRPr="007E2A05">
        <w:rPr>
          <w:color w:val="auto"/>
          <w:sz w:val="24"/>
          <w:szCs w:val="24"/>
        </w:rPr>
        <w:t xml:space="preserve">One key aspect </w:t>
      </w:r>
      <w:r w:rsidR="00F944F0">
        <w:rPr>
          <w:color w:val="auto"/>
          <w:sz w:val="24"/>
          <w:szCs w:val="24"/>
        </w:rPr>
        <w:t xml:space="preserve">of the bill </w:t>
      </w:r>
      <w:r w:rsidRPr="007E2A05">
        <w:rPr>
          <w:color w:val="auto"/>
          <w:sz w:val="24"/>
          <w:szCs w:val="24"/>
        </w:rPr>
        <w:t xml:space="preserve">is an update of the state's nursing facility reimbursement system, the methodology that governs most public and private payments for facility-based care for seniors. </w:t>
      </w:r>
    </w:p>
    <w:p w:rsidR="0003672F" w:rsidRPr="00533C43" w:rsidRDefault="00742BDD" w:rsidP="00E867C6">
      <w:pPr>
        <w:spacing w:after="0" w:line="240" w:lineRule="auto"/>
        <w:contextualSpacing/>
        <w:rPr>
          <w:rFonts w:eastAsia="Arial Unicode MS" w:cs="Times New Roman"/>
          <w:sz w:val="24"/>
          <w:szCs w:val="24"/>
        </w:rPr>
      </w:pPr>
      <w:r w:rsidRPr="00533C43">
        <w:rPr>
          <w:rFonts w:eastAsia="Arial Unicode MS" w:cs="Times New Roman"/>
          <w:sz w:val="24"/>
          <w:szCs w:val="24"/>
        </w:rPr>
        <w:t xml:space="preserve">Below is a summary of </w:t>
      </w:r>
      <w:r w:rsidR="008B0BC8" w:rsidRPr="00533C43">
        <w:rPr>
          <w:rFonts w:eastAsia="Arial Unicode MS" w:cs="Times New Roman"/>
          <w:sz w:val="24"/>
          <w:szCs w:val="24"/>
        </w:rPr>
        <w:t xml:space="preserve">the proposed calculation for each component of the rate in the new payment system </w:t>
      </w:r>
      <w:r w:rsidR="008C6E0F" w:rsidRPr="00533C43">
        <w:rPr>
          <w:rFonts w:eastAsia="Arial Unicode MS" w:cs="Times New Roman"/>
          <w:sz w:val="24"/>
          <w:szCs w:val="24"/>
        </w:rPr>
        <w:t xml:space="preserve">proposal and </w:t>
      </w:r>
      <w:r w:rsidR="00F944F0">
        <w:rPr>
          <w:rFonts w:eastAsia="Arial Unicode MS" w:cs="Times New Roman"/>
          <w:sz w:val="24"/>
          <w:szCs w:val="24"/>
        </w:rPr>
        <w:t>information on</w:t>
      </w:r>
      <w:r w:rsidR="008C6E0F" w:rsidRPr="00533C43">
        <w:rPr>
          <w:rFonts w:eastAsia="Arial Unicode MS" w:cs="Times New Roman"/>
          <w:sz w:val="24"/>
          <w:szCs w:val="24"/>
        </w:rPr>
        <w:t xml:space="preserve"> the modeling results</w:t>
      </w:r>
      <w:r w:rsidRPr="00533C43">
        <w:rPr>
          <w:rFonts w:eastAsia="Arial Unicode MS" w:cs="Times New Roman"/>
          <w:sz w:val="24"/>
          <w:szCs w:val="24"/>
        </w:rPr>
        <w:t>.</w:t>
      </w:r>
      <w:r w:rsidR="000A6C2E" w:rsidRPr="00533C43">
        <w:rPr>
          <w:rFonts w:eastAsia="Arial Unicode MS" w:cs="Times New Roman"/>
          <w:sz w:val="24"/>
          <w:szCs w:val="24"/>
        </w:rPr>
        <w:t xml:space="preserve">  </w:t>
      </w:r>
      <w:r w:rsidR="00F944F0">
        <w:rPr>
          <w:rFonts w:eastAsia="Arial Unicode MS" w:cs="Times New Roman"/>
          <w:sz w:val="24"/>
          <w:szCs w:val="24"/>
        </w:rPr>
        <w:t>The bill calls for full implementation of the new rate system</w:t>
      </w:r>
      <w:r w:rsidR="000A6C2E" w:rsidRPr="00533C43">
        <w:rPr>
          <w:rFonts w:eastAsia="Arial Unicode MS" w:cs="Times New Roman"/>
          <w:sz w:val="24"/>
          <w:szCs w:val="24"/>
        </w:rPr>
        <w:t xml:space="preserve"> on October 1, 2015, with the exception of property rates which would change on October 1, 2016.</w:t>
      </w:r>
      <w:r w:rsidR="008C6E0F" w:rsidRPr="00533C43">
        <w:rPr>
          <w:rFonts w:eastAsia="Arial Unicode MS" w:cs="Times New Roman"/>
          <w:sz w:val="24"/>
          <w:szCs w:val="24"/>
        </w:rPr>
        <w:t xml:space="preserve"> </w:t>
      </w:r>
      <w:r w:rsidR="0003672F" w:rsidRPr="00533C43">
        <w:rPr>
          <w:rFonts w:eastAsia="Arial Unicode MS" w:cs="Times New Roman"/>
          <w:sz w:val="24"/>
          <w:szCs w:val="24"/>
        </w:rPr>
        <w:t xml:space="preserve">To </w:t>
      </w:r>
      <w:r w:rsidR="00F944F0">
        <w:rPr>
          <w:rFonts w:eastAsia="Arial Unicode MS" w:cs="Times New Roman"/>
          <w:sz w:val="24"/>
          <w:szCs w:val="24"/>
        </w:rPr>
        <w:t>determine rates under the new system</w:t>
      </w:r>
      <w:r w:rsidR="0003672F" w:rsidRPr="00533C43">
        <w:rPr>
          <w:rFonts w:eastAsia="Arial Unicode MS" w:cs="Times New Roman"/>
          <w:sz w:val="24"/>
          <w:szCs w:val="24"/>
        </w:rPr>
        <w:t xml:space="preserve">, </w:t>
      </w:r>
      <w:r w:rsidR="00F944F0">
        <w:rPr>
          <w:rFonts w:eastAsia="Arial Unicode MS" w:cs="Times New Roman"/>
          <w:sz w:val="24"/>
          <w:szCs w:val="24"/>
        </w:rPr>
        <w:t>DHS</w:t>
      </w:r>
      <w:r w:rsidR="0003672F" w:rsidRPr="00533C43">
        <w:rPr>
          <w:rFonts w:eastAsia="Arial Unicode MS" w:cs="Times New Roman"/>
          <w:sz w:val="24"/>
          <w:szCs w:val="24"/>
        </w:rPr>
        <w:t xml:space="preserve"> will use the most recent </w:t>
      </w:r>
      <w:r w:rsidR="00E93541" w:rsidRPr="00533C43">
        <w:rPr>
          <w:rFonts w:eastAsia="Arial Unicode MS" w:cs="Times New Roman"/>
          <w:sz w:val="24"/>
          <w:szCs w:val="24"/>
        </w:rPr>
        <w:t>statistical cost report and quality measures available.  The year ending 9/30/2014 cost report will be used for establishing the October 1, 2015 rates.</w:t>
      </w:r>
    </w:p>
    <w:p w:rsidR="0003672F" w:rsidRPr="00533C43" w:rsidRDefault="0003672F" w:rsidP="00E867C6">
      <w:pPr>
        <w:spacing w:after="0" w:line="240" w:lineRule="auto"/>
        <w:contextualSpacing/>
        <w:rPr>
          <w:rFonts w:eastAsia="Arial Unicode MS" w:cs="Times New Roman"/>
          <w:sz w:val="24"/>
          <w:szCs w:val="24"/>
        </w:rPr>
      </w:pPr>
    </w:p>
    <w:p w:rsidR="006B7990" w:rsidRDefault="006B7990" w:rsidP="00E867C6">
      <w:pPr>
        <w:spacing w:after="0" w:line="240" w:lineRule="auto"/>
        <w:contextualSpacing/>
        <w:rPr>
          <w:rFonts w:eastAsia="Arial Unicode MS" w:cs="Times New Roman"/>
          <w:b/>
          <w:sz w:val="24"/>
          <w:szCs w:val="24"/>
        </w:rPr>
      </w:pPr>
    </w:p>
    <w:p w:rsidR="006B7990" w:rsidRDefault="006B7990" w:rsidP="00E867C6">
      <w:pPr>
        <w:spacing w:after="0" w:line="240" w:lineRule="auto"/>
        <w:contextualSpacing/>
        <w:rPr>
          <w:rFonts w:eastAsia="Arial Unicode MS" w:cs="Times New Roman"/>
          <w:b/>
          <w:sz w:val="24"/>
          <w:szCs w:val="24"/>
        </w:rPr>
      </w:pPr>
    </w:p>
    <w:p w:rsidR="00946775" w:rsidRPr="00533C43" w:rsidRDefault="00742BDD" w:rsidP="00E867C6">
      <w:pPr>
        <w:spacing w:after="0" w:line="240" w:lineRule="auto"/>
        <w:contextualSpacing/>
        <w:rPr>
          <w:rFonts w:eastAsia="Arial Unicode MS" w:cs="Times New Roman"/>
          <w:sz w:val="24"/>
          <w:szCs w:val="24"/>
        </w:rPr>
      </w:pPr>
      <w:r w:rsidRPr="00533C43">
        <w:rPr>
          <w:rFonts w:eastAsia="Arial Unicode MS" w:cs="Times New Roman"/>
          <w:b/>
          <w:sz w:val="24"/>
          <w:szCs w:val="24"/>
        </w:rPr>
        <w:lastRenderedPageBreak/>
        <w:t>Care-</w:t>
      </w:r>
      <w:r w:rsidR="00F2757A" w:rsidRPr="00533C43">
        <w:rPr>
          <w:rFonts w:eastAsia="Arial Unicode MS" w:cs="Times New Roman"/>
          <w:b/>
          <w:sz w:val="24"/>
          <w:szCs w:val="24"/>
        </w:rPr>
        <w:t>Related R</w:t>
      </w:r>
      <w:r w:rsidRPr="00533C43">
        <w:rPr>
          <w:rFonts w:eastAsia="Arial Unicode MS" w:cs="Times New Roman"/>
          <w:b/>
          <w:sz w:val="24"/>
          <w:szCs w:val="24"/>
        </w:rPr>
        <w:t xml:space="preserve">ate: </w:t>
      </w:r>
      <w:r w:rsidRPr="00533C43">
        <w:rPr>
          <w:rFonts w:eastAsia="Arial Unicode MS" w:cs="Times New Roman"/>
          <w:sz w:val="24"/>
          <w:szCs w:val="24"/>
        </w:rPr>
        <w:t xml:space="preserve">This component </w:t>
      </w:r>
      <w:r w:rsidR="00F944F0">
        <w:rPr>
          <w:rFonts w:eastAsia="Arial Unicode MS" w:cs="Times New Roman"/>
          <w:sz w:val="24"/>
          <w:szCs w:val="24"/>
        </w:rPr>
        <w:t xml:space="preserve">pays for </w:t>
      </w:r>
      <w:r w:rsidRPr="00533C43">
        <w:rPr>
          <w:rFonts w:eastAsia="Arial Unicode MS" w:cs="Times New Roman"/>
          <w:sz w:val="24"/>
          <w:szCs w:val="24"/>
        </w:rPr>
        <w:t>nursing, social services</w:t>
      </w:r>
      <w:r w:rsidR="00BE4983" w:rsidRPr="00533C43">
        <w:rPr>
          <w:rFonts w:eastAsia="Arial Unicode MS" w:cs="Times New Roman"/>
          <w:sz w:val="24"/>
          <w:szCs w:val="24"/>
        </w:rPr>
        <w:t>, raw food</w:t>
      </w:r>
      <w:r w:rsidRPr="00533C43">
        <w:rPr>
          <w:rFonts w:eastAsia="Arial Unicode MS" w:cs="Times New Roman"/>
          <w:sz w:val="24"/>
          <w:szCs w:val="24"/>
        </w:rPr>
        <w:t xml:space="preserve"> and activities.  </w:t>
      </w:r>
      <w:r w:rsidR="00F944F0">
        <w:rPr>
          <w:rFonts w:eastAsia="Arial Unicode MS" w:cs="Times New Roman"/>
          <w:sz w:val="24"/>
          <w:szCs w:val="24"/>
        </w:rPr>
        <w:t xml:space="preserve">It is calculated using the actual costs reported on the cost report by each facility. </w:t>
      </w:r>
    </w:p>
    <w:p w:rsidR="00946775" w:rsidRPr="00533C43" w:rsidRDefault="00742BDD" w:rsidP="00946775">
      <w:pPr>
        <w:pStyle w:val="ListParagraph"/>
        <w:numPr>
          <w:ilvl w:val="0"/>
          <w:numId w:val="2"/>
        </w:numPr>
        <w:spacing w:after="0" w:line="240" w:lineRule="auto"/>
        <w:rPr>
          <w:rFonts w:eastAsia="Arial Unicode MS" w:cs="Times New Roman"/>
          <w:sz w:val="24"/>
          <w:szCs w:val="24"/>
        </w:rPr>
      </w:pPr>
      <w:r w:rsidRPr="00533C43">
        <w:rPr>
          <w:rFonts w:eastAsia="Arial Unicode MS" w:cs="Times New Roman"/>
          <w:sz w:val="24"/>
          <w:szCs w:val="24"/>
        </w:rPr>
        <w:t>The nursing portion of this per diem is adjusted for case mix</w:t>
      </w:r>
      <w:r w:rsidR="00F944F0">
        <w:rPr>
          <w:rFonts w:eastAsia="Arial Unicode MS" w:cs="Times New Roman"/>
          <w:sz w:val="24"/>
          <w:szCs w:val="24"/>
        </w:rPr>
        <w:t xml:space="preserve"> to address variation in the needs of residents</w:t>
      </w:r>
      <w:r w:rsidRPr="00533C43">
        <w:rPr>
          <w:rFonts w:eastAsia="Arial Unicode MS" w:cs="Times New Roman"/>
          <w:sz w:val="24"/>
          <w:szCs w:val="24"/>
        </w:rPr>
        <w:t xml:space="preserve">.  </w:t>
      </w:r>
      <w:r w:rsidR="00946775" w:rsidRPr="00533C43">
        <w:rPr>
          <w:rFonts w:eastAsia="Arial Unicode MS" w:cs="Times New Roman"/>
          <w:sz w:val="24"/>
          <w:szCs w:val="24"/>
        </w:rPr>
        <w:t>The non-nursing care portion is not adjusted for case mix.</w:t>
      </w:r>
    </w:p>
    <w:p w:rsidR="00946775" w:rsidRPr="00533C43" w:rsidRDefault="00946775" w:rsidP="00946775">
      <w:pPr>
        <w:pStyle w:val="ListParagraph"/>
        <w:numPr>
          <w:ilvl w:val="0"/>
          <w:numId w:val="2"/>
        </w:numPr>
        <w:spacing w:after="0" w:line="240" w:lineRule="auto"/>
        <w:rPr>
          <w:rFonts w:eastAsia="Arial Unicode MS" w:cs="Times New Roman"/>
          <w:sz w:val="24"/>
          <w:szCs w:val="24"/>
        </w:rPr>
      </w:pPr>
      <w:r w:rsidRPr="00533C43">
        <w:rPr>
          <w:rFonts w:eastAsia="Arial Unicode MS" w:cs="Times New Roman"/>
          <w:sz w:val="24"/>
          <w:szCs w:val="24"/>
        </w:rPr>
        <w:t>A f</w:t>
      </w:r>
      <w:r w:rsidR="00532A25" w:rsidRPr="00533C43">
        <w:rPr>
          <w:rFonts w:eastAsia="Arial Unicode MS" w:cs="Times New Roman"/>
          <w:sz w:val="24"/>
          <w:szCs w:val="24"/>
        </w:rPr>
        <w:t>acility</w:t>
      </w:r>
      <w:r w:rsidRPr="00533C43">
        <w:rPr>
          <w:rFonts w:eastAsia="Arial Unicode MS" w:cs="Times New Roman"/>
          <w:sz w:val="24"/>
          <w:szCs w:val="24"/>
        </w:rPr>
        <w:t>’s care related</w:t>
      </w:r>
      <w:r w:rsidR="00532A25" w:rsidRPr="00533C43">
        <w:rPr>
          <w:rFonts w:eastAsia="Arial Unicode MS" w:cs="Times New Roman"/>
          <w:sz w:val="24"/>
          <w:szCs w:val="24"/>
        </w:rPr>
        <w:t xml:space="preserve"> rate is the lower of</w:t>
      </w:r>
      <w:r w:rsidR="00F944F0">
        <w:rPr>
          <w:rFonts w:eastAsia="Arial Unicode MS" w:cs="Times New Roman"/>
          <w:sz w:val="24"/>
          <w:szCs w:val="24"/>
        </w:rPr>
        <w:t xml:space="preserve"> the</w:t>
      </w:r>
      <w:r w:rsidR="00532A25" w:rsidRPr="00533C43">
        <w:rPr>
          <w:rFonts w:eastAsia="Arial Unicode MS" w:cs="Times New Roman"/>
          <w:sz w:val="24"/>
          <w:szCs w:val="24"/>
        </w:rPr>
        <w:t xml:space="preserve"> actual </w:t>
      </w:r>
      <w:r w:rsidR="008B0BC8" w:rsidRPr="00533C43">
        <w:rPr>
          <w:rFonts w:eastAsia="Arial Unicode MS" w:cs="Times New Roman"/>
          <w:sz w:val="24"/>
          <w:szCs w:val="24"/>
        </w:rPr>
        <w:t xml:space="preserve">facility </w:t>
      </w:r>
      <w:r w:rsidR="00532A25" w:rsidRPr="00533C43">
        <w:rPr>
          <w:rFonts w:eastAsia="Arial Unicode MS" w:cs="Times New Roman"/>
          <w:sz w:val="24"/>
          <w:szCs w:val="24"/>
        </w:rPr>
        <w:t>cost</w:t>
      </w:r>
      <w:r w:rsidR="00F944F0">
        <w:rPr>
          <w:rFonts w:eastAsia="Arial Unicode MS" w:cs="Times New Roman"/>
          <w:sz w:val="24"/>
          <w:szCs w:val="24"/>
        </w:rPr>
        <w:t xml:space="preserve"> per diem</w:t>
      </w:r>
      <w:r w:rsidR="00532A25" w:rsidRPr="00533C43">
        <w:rPr>
          <w:rFonts w:eastAsia="Arial Unicode MS" w:cs="Times New Roman"/>
          <w:sz w:val="24"/>
          <w:szCs w:val="24"/>
        </w:rPr>
        <w:t xml:space="preserve"> or a limit.  </w:t>
      </w:r>
    </w:p>
    <w:p w:rsidR="0055709C" w:rsidRPr="00F944F0" w:rsidRDefault="00532A25" w:rsidP="005E0A13">
      <w:pPr>
        <w:pStyle w:val="ListParagraph"/>
        <w:numPr>
          <w:ilvl w:val="0"/>
          <w:numId w:val="2"/>
        </w:numPr>
        <w:spacing w:after="0" w:line="240" w:lineRule="auto"/>
        <w:rPr>
          <w:rFonts w:eastAsia="Arial Unicode MS" w:cs="Times New Roman"/>
          <w:b/>
          <w:sz w:val="24"/>
          <w:szCs w:val="24"/>
        </w:rPr>
      </w:pPr>
      <w:r w:rsidRPr="00F944F0">
        <w:rPr>
          <w:rFonts w:eastAsia="Arial Unicode MS" w:cs="Times New Roman"/>
          <w:sz w:val="24"/>
          <w:szCs w:val="24"/>
        </w:rPr>
        <w:t>The limit is determined by two components, percentage of peer group median costs and quality score.  Current proposal is to use quality scores from 10 (95% of median limit) to 90 (140% of median limit)</w:t>
      </w:r>
      <w:r w:rsidR="00BE4983" w:rsidRPr="00F944F0">
        <w:rPr>
          <w:rFonts w:eastAsia="Arial Unicode MS" w:cs="Times New Roman"/>
          <w:sz w:val="24"/>
          <w:szCs w:val="24"/>
        </w:rPr>
        <w:t xml:space="preserve"> with limit percentage being adjusted on a straight line basis for quality scores between 10 and 90 (i.e., score of 50 equals limit of 117.5% of median)</w:t>
      </w:r>
      <w:r w:rsidRPr="00F944F0">
        <w:rPr>
          <w:rFonts w:eastAsia="Arial Unicode MS" w:cs="Times New Roman"/>
          <w:sz w:val="24"/>
          <w:szCs w:val="24"/>
        </w:rPr>
        <w:t xml:space="preserve">.  </w:t>
      </w:r>
    </w:p>
    <w:p w:rsidR="00F944F0" w:rsidRPr="00F944F0" w:rsidRDefault="00F944F0" w:rsidP="00F944F0">
      <w:pPr>
        <w:pStyle w:val="ListParagraph"/>
        <w:spacing w:after="0" w:line="240" w:lineRule="auto"/>
        <w:rPr>
          <w:rFonts w:eastAsia="Arial Unicode MS" w:cs="Times New Roman"/>
          <w:b/>
          <w:sz w:val="24"/>
          <w:szCs w:val="24"/>
        </w:rPr>
      </w:pPr>
    </w:p>
    <w:p w:rsidR="00946775" w:rsidRPr="00533C43" w:rsidRDefault="00BE4983" w:rsidP="00E867C6">
      <w:pPr>
        <w:spacing w:after="0" w:line="240" w:lineRule="auto"/>
        <w:contextualSpacing/>
        <w:rPr>
          <w:rFonts w:eastAsia="Arial Unicode MS" w:cs="Times New Roman"/>
          <w:sz w:val="24"/>
          <w:szCs w:val="24"/>
        </w:rPr>
      </w:pPr>
      <w:r w:rsidRPr="00533C43">
        <w:rPr>
          <w:rFonts w:eastAsia="Arial Unicode MS" w:cs="Times New Roman"/>
          <w:b/>
          <w:sz w:val="24"/>
          <w:szCs w:val="24"/>
        </w:rPr>
        <w:t xml:space="preserve">Other </w:t>
      </w:r>
      <w:r w:rsidR="00F2757A" w:rsidRPr="00533C43">
        <w:rPr>
          <w:rFonts w:eastAsia="Arial Unicode MS" w:cs="Times New Roman"/>
          <w:b/>
          <w:sz w:val="24"/>
          <w:szCs w:val="24"/>
        </w:rPr>
        <w:t>O</w:t>
      </w:r>
      <w:r w:rsidRPr="00533C43">
        <w:rPr>
          <w:rFonts w:eastAsia="Arial Unicode MS" w:cs="Times New Roman"/>
          <w:b/>
          <w:sz w:val="24"/>
          <w:szCs w:val="24"/>
        </w:rPr>
        <w:t>perating</w:t>
      </w:r>
      <w:r w:rsidR="00F2757A" w:rsidRPr="00533C43">
        <w:rPr>
          <w:rFonts w:eastAsia="Arial Unicode MS" w:cs="Times New Roman"/>
          <w:b/>
          <w:sz w:val="24"/>
          <w:szCs w:val="24"/>
        </w:rPr>
        <w:t xml:space="preserve"> R</w:t>
      </w:r>
      <w:r w:rsidRPr="00533C43">
        <w:rPr>
          <w:rFonts w:eastAsia="Arial Unicode MS" w:cs="Times New Roman"/>
          <w:b/>
          <w:sz w:val="24"/>
          <w:szCs w:val="24"/>
        </w:rPr>
        <w:t xml:space="preserve">ate: </w:t>
      </w:r>
      <w:r w:rsidRPr="00533C43">
        <w:rPr>
          <w:rFonts w:eastAsia="Arial Unicode MS" w:cs="Times New Roman"/>
          <w:sz w:val="24"/>
          <w:szCs w:val="24"/>
        </w:rPr>
        <w:t xml:space="preserve">This component </w:t>
      </w:r>
      <w:r w:rsidR="00AA182D">
        <w:rPr>
          <w:rFonts w:eastAsia="Arial Unicode MS" w:cs="Times New Roman"/>
          <w:sz w:val="24"/>
          <w:szCs w:val="24"/>
        </w:rPr>
        <w:t xml:space="preserve">pays for </w:t>
      </w:r>
      <w:r w:rsidRPr="00533C43">
        <w:rPr>
          <w:rFonts w:eastAsia="Arial Unicode MS" w:cs="Times New Roman"/>
          <w:sz w:val="24"/>
          <w:szCs w:val="24"/>
        </w:rPr>
        <w:t>dietary staff, housekeeping, laundry, utilities and administrative costs</w:t>
      </w:r>
      <w:r w:rsidR="00AA182D">
        <w:rPr>
          <w:rFonts w:eastAsia="Arial Unicode MS" w:cs="Times New Roman"/>
          <w:sz w:val="24"/>
          <w:szCs w:val="24"/>
        </w:rPr>
        <w:t xml:space="preserve"> such as property and liability insurance</w:t>
      </w:r>
      <w:r w:rsidRPr="00533C43">
        <w:rPr>
          <w:rFonts w:eastAsia="Arial Unicode MS" w:cs="Times New Roman"/>
          <w:sz w:val="24"/>
          <w:szCs w:val="24"/>
        </w:rPr>
        <w:t xml:space="preserve">.  </w:t>
      </w:r>
    </w:p>
    <w:p w:rsidR="00946775" w:rsidRPr="00533C43" w:rsidRDefault="00AA182D" w:rsidP="00946775">
      <w:pPr>
        <w:pStyle w:val="ListParagraph"/>
        <w:numPr>
          <w:ilvl w:val="0"/>
          <w:numId w:val="3"/>
        </w:numPr>
        <w:spacing w:after="0" w:line="240" w:lineRule="auto"/>
        <w:rPr>
          <w:rFonts w:eastAsia="Arial Unicode MS" w:cs="Times New Roman"/>
          <w:sz w:val="24"/>
          <w:szCs w:val="24"/>
        </w:rPr>
      </w:pPr>
      <w:r w:rsidRPr="007E2A05">
        <w:rPr>
          <w:bCs/>
          <w:sz w:val="24"/>
          <w:szCs w:val="24"/>
        </w:rPr>
        <w:t>Each nursing facility will receive a price that is calculated as 105% of the peer group median costs</w:t>
      </w:r>
      <w:r w:rsidR="00BE4983" w:rsidRPr="00533C43">
        <w:rPr>
          <w:rFonts w:eastAsia="Arial Unicode MS" w:cs="Times New Roman"/>
          <w:sz w:val="24"/>
          <w:szCs w:val="24"/>
        </w:rPr>
        <w:t xml:space="preserve">.  </w:t>
      </w:r>
    </w:p>
    <w:p w:rsidR="00532A25" w:rsidRPr="00533C43" w:rsidRDefault="00AA182D" w:rsidP="00946775">
      <w:pPr>
        <w:pStyle w:val="ListParagraph"/>
        <w:numPr>
          <w:ilvl w:val="0"/>
          <w:numId w:val="3"/>
        </w:numPr>
        <w:spacing w:after="0" w:line="240" w:lineRule="auto"/>
        <w:rPr>
          <w:rFonts w:eastAsia="Arial Unicode MS" w:cs="Times New Roman"/>
          <w:sz w:val="24"/>
          <w:szCs w:val="24"/>
        </w:rPr>
      </w:pPr>
      <w:r>
        <w:rPr>
          <w:rFonts w:eastAsia="Arial Unicode MS" w:cs="Times New Roman"/>
          <w:sz w:val="24"/>
          <w:szCs w:val="24"/>
        </w:rPr>
        <w:t>This component is not adjusted for case mix, and provides a strong incentive for efficiency because higher individual facility costs does not increase rate</w:t>
      </w:r>
      <w:r w:rsidR="00BE4983" w:rsidRPr="00533C43">
        <w:rPr>
          <w:rFonts w:eastAsia="Arial Unicode MS" w:cs="Times New Roman"/>
          <w:sz w:val="24"/>
          <w:szCs w:val="24"/>
        </w:rPr>
        <w:t>.</w:t>
      </w:r>
    </w:p>
    <w:p w:rsidR="00E867C6" w:rsidRPr="00533C43" w:rsidRDefault="00E867C6" w:rsidP="00E867C6">
      <w:pPr>
        <w:spacing w:after="0" w:line="240" w:lineRule="auto"/>
        <w:contextualSpacing/>
        <w:rPr>
          <w:rFonts w:eastAsia="Arial Unicode MS" w:cs="Times New Roman"/>
          <w:b/>
          <w:sz w:val="24"/>
          <w:szCs w:val="24"/>
        </w:rPr>
      </w:pPr>
    </w:p>
    <w:p w:rsidR="002429E4" w:rsidRPr="00533C43" w:rsidRDefault="00F2757A" w:rsidP="009B656E">
      <w:pPr>
        <w:spacing w:after="0" w:line="240" w:lineRule="auto"/>
        <w:contextualSpacing/>
        <w:rPr>
          <w:rFonts w:eastAsia="Arial Unicode MS" w:cs="Times New Roman"/>
          <w:sz w:val="24"/>
          <w:szCs w:val="24"/>
        </w:rPr>
      </w:pPr>
      <w:r w:rsidRPr="00533C43">
        <w:rPr>
          <w:rFonts w:eastAsia="Arial Unicode MS" w:cs="Times New Roman"/>
          <w:b/>
          <w:sz w:val="24"/>
          <w:szCs w:val="24"/>
        </w:rPr>
        <w:t>External Fixed R</w:t>
      </w:r>
      <w:r w:rsidR="002429E4" w:rsidRPr="00533C43">
        <w:rPr>
          <w:rFonts w:eastAsia="Arial Unicode MS" w:cs="Times New Roman"/>
          <w:b/>
          <w:sz w:val="24"/>
          <w:szCs w:val="24"/>
        </w:rPr>
        <w:t>ate:</w:t>
      </w:r>
      <w:r w:rsidR="002429E4" w:rsidRPr="00533C43">
        <w:rPr>
          <w:rFonts w:eastAsia="Arial Unicode MS" w:cs="Times New Roman"/>
          <w:sz w:val="24"/>
          <w:szCs w:val="24"/>
        </w:rPr>
        <w:t xml:space="preserve"> This component </w:t>
      </w:r>
      <w:r w:rsidR="009B656E">
        <w:rPr>
          <w:rFonts w:eastAsia="Arial Unicode MS" w:cs="Times New Roman"/>
          <w:sz w:val="24"/>
          <w:szCs w:val="24"/>
        </w:rPr>
        <w:t>pays for a number of items that are out of the control of the facility or do not change annually, inclu</w:t>
      </w:r>
      <w:r w:rsidR="002429E4" w:rsidRPr="00533C43">
        <w:rPr>
          <w:rFonts w:eastAsia="Arial Unicode MS" w:cs="Times New Roman"/>
          <w:sz w:val="24"/>
          <w:szCs w:val="24"/>
        </w:rPr>
        <w:t>ding bed closure incentives, surcharge, property taxes, license fees and the surcharg</w:t>
      </w:r>
      <w:r w:rsidR="00946775" w:rsidRPr="00533C43">
        <w:rPr>
          <w:rFonts w:eastAsia="Arial Unicode MS" w:cs="Times New Roman"/>
          <w:sz w:val="24"/>
          <w:szCs w:val="24"/>
        </w:rPr>
        <w:t xml:space="preserve">e. </w:t>
      </w:r>
      <w:r w:rsidR="009B656E">
        <w:rPr>
          <w:rFonts w:eastAsia="Arial Unicode MS" w:cs="Times New Roman"/>
          <w:sz w:val="24"/>
          <w:szCs w:val="24"/>
        </w:rPr>
        <w:t xml:space="preserve"> Biggest change in this bill is to </w:t>
      </w:r>
      <w:r w:rsidR="000A6C2E" w:rsidRPr="00533C43">
        <w:rPr>
          <w:rFonts w:eastAsia="Arial Unicode MS" w:cs="Times New Roman"/>
          <w:sz w:val="24"/>
          <w:szCs w:val="24"/>
        </w:rPr>
        <w:t xml:space="preserve">add health insurance costs, which is defined as costs of employer plans, contributions to HSAs and the cost of </w:t>
      </w:r>
      <w:r w:rsidR="009B656E">
        <w:rPr>
          <w:rFonts w:eastAsia="Arial Unicode MS" w:cs="Times New Roman"/>
          <w:sz w:val="24"/>
          <w:szCs w:val="24"/>
        </w:rPr>
        <w:t>employer shared responsibility payments</w:t>
      </w:r>
      <w:r w:rsidR="000A6C2E" w:rsidRPr="00533C43">
        <w:rPr>
          <w:rFonts w:eastAsia="Arial Unicode MS" w:cs="Times New Roman"/>
          <w:sz w:val="24"/>
          <w:szCs w:val="24"/>
        </w:rPr>
        <w:t>.</w:t>
      </w:r>
    </w:p>
    <w:p w:rsidR="00E867C6" w:rsidRPr="00533C43" w:rsidRDefault="00E867C6" w:rsidP="00E867C6">
      <w:pPr>
        <w:spacing w:after="0" w:line="240" w:lineRule="auto"/>
        <w:contextualSpacing/>
        <w:rPr>
          <w:rFonts w:eastAsia="Arial Unicode MS" w:cs="Times New Roman"/>
          <w:b/>
          <w:sz w:val="24"/>
          <w:szCs w:val="24"/>
        </w:rPr>
      </w:pPr>
    </w:p>
    <w:p w:rsidR="000A6C2E" w:rsidRPr="00533C43" w:rsidRDefault="007A061C" w:rsidP="00E44D5B">
      <w:pPr>
        <w:spacing w:after="0" w:line="240" w:lineRule="auto"/>
        <w:contextualSpacing/>
        <w:rPr>
          <w:rFonts w:eastAsia="Arial Unicode MS" w:cs="Times New Roman"/>
          <w:sz w:val="24"/>
          <w:szCs w:val="24"/>
        </w:rPr>
      </w:pPr>
      <w:r w:rsidRPr="00533C43">
        <w:rPr>
          <w:rFonts w:eastAsia="Arial Unicode MS" w:cs="Times New Roman"/>
          <w:b/>
          <w:sz w:val="24"/>
          <w:szCs w:val="24"/>
        </w:rPr>
        <w:t>Property</w:t>
      </w:r>
      <w:r w:rsidR="00F2757A" w:rsidRPr="00533C43">
        <w:rPr>
          <w:rFonts w:eastAsia="Arial Unicode MS" w:cs="Times New Roman"/>
          <w:b/>
          <w:sz w:val="24"/>
          <w:szCs w:val="24"/>
        </w:rPr>
        <w:t xml:space="preserve"> R</w:t>
      </w:r>
      <w:r w:rsidRPr="00533C43">
        <w:rPr>
          <w:rFonts w:eastAsia="Arial Unicode MS" w:cs="Times New Roman"/>
          <w:b/>
          <w:sz w:val="24"/>
          <w:szCs w:val="24"/>
        </w:rPr>
        <w:t>ate:</w:t>
      </w:r>
      <w:r w:rsidRPr="00533C43">
        <w:rPr>
          <w:rFonts w:eastAsia="Arial Unicode MS" w:cs="Times New Roman"/>
          <w:sz w:val="24"/>
          <w:szCs w:val="24"/>
        </w:rPr>
        <w:t xml:space="preserve"> </w:t>
      </w:r>
      <w:r w:rsidR="00E44D5B">
        <w:rPr>
          <w:rFonts w:eastAsia="Arial Unicode MS" w:cs="Times New Roman"/>
          <w:sz w:val="24"/>
          <w:szCs w:val="24"/>
        </w:rPr>
        <w:t xml:space="preserve">This component pays for the cost of building and maintaining the physical property. </w:t>
      </w:r>
      <w:r w:rsidR="00E44D5B" w:rsidRPr="007E2A05">
        <w:rPr>
          <w:sz w:val="24"/>
          <w:szCs w:val="24"/>
        </w:rPr>
        <w:t>A new property payment system will begin implementation on October 1, 2016 to provide</w:t>
      </w:r>
      <w:r w:rsidR="00E44D5B">
        <w:rPr>
          <w:sz w:val="24"/>
          <w:szCs w:val="24"/>
        </w:rPr>
        <w:t xml:space="preserve"> a system for funding</w:t>
      </w:r>
      <w:r w:rsidR="00E44D5B" w:rsidRPr="007E2A05">
        <w:rPr>
          <w:sz w:val="24"/>
          <w:szCs w:val="24"/>
        </w:rPr>
        <w:t xml:space="preserve"> necessary investments in facility improvements. The details of this proposal will be developed early this year and introduced as an amendment to the proposal in March.</w:t>
      </w:r>
      <w:r w:rsidR="00E44D5B">
        <w:rPr>
          <w:rFonts w:eastAsia="Arial Unicode MS" w:cs="Times New Roman"/>
          <w:sz w:val="24"/>
          <w:szCs w:val="24"/>
        </w:rPr>
        <w:t xml:space="preserve"> </w:t>
      </w:r>
    </w:p>
    <w:p w:rsidR="00E867C6" w:rsidRPr="00533C43" w:rsidRDefault="00E867C6" w:rsidP="00E867C6">
      <w:pPr>
        <w:spacing w:after="0" w:line="240" w:lineRule="auto"/>
        <w:contextualSpacing/>
        <w:rPr>
          <w:rFonts w:eastAsia="Arial Unicode MS" w:cs="Times New Roman"/>
          <w:b/>
          <w:sz w:val="24"/>
          <w:szCs w:val="24"/>
        </w:rPr>
      </w:pPr>
    </w:p>
    <w:p w:rsidR="008C6E0F" w:rsidRDefault="00E44D5B" w:rsidP="00E867C6">
      <w:pPr>
        <w:spacing w:after="0" w:line="240" w:lineRule="auto"/>
        <w:contextualSpacing/>
        <w:rPr>
          <w:rFonts w:eastAsia="Arial Unicode MS" w:cs="Times New Roman"/>
          <w:sz w:val="24"/>
          <w:szCs w:val="24"/>
        </w:rPr>
      </w:pPr>
      <w:r>
        <w:rPr>
          <w:rFonts w:eastAsia="Arial Unicode MS" w:cs="Times New Roman"/>
          <w:b/>
          <w:sz w:val="24"/>
          <w:szCs w:val="24"/>
        </w:rPr>
        <w:t xml:space="preserve">Peer Groups: </w:t>
      </w:r>
      <w:r>
        <w:rPr>
          <w:rFonts w:eastAsia="Arial Unicode MS" w:cs="Times New Roman"/>
          <w:sz w:val="24"/>
          <w:szCs w:val="24"/>
        </w:rPr>
        <w:t>The legislation groups nursing facilities into two new geographic peer groups based on existing labor market differences identified from current wage data (see map below).  Within each group, the care-related rate is based on individual costs compared to a limit that is influenced by both quality score and the costs of other peer group facilities, so these groups DO NOT represent a specific rate level for each sets of counties.</w:t>
      </w:r>
    </w:p>
    <w:p w:rsidR="00E44D5B" w:rsidRDefault="00E44D5B" w:rsidP="00E867C6">
      <w:pPr>
        <w:spacing w:after="0" w:line="240" w:lineRule="auto"/>
        <w:contextualSpacing/>
        <w:rPr>
          <w:rFonts w:eastAsia="Arial Unicode MS" w:cs="Times New Roman"/>
          <w:sz w:val="24"/>
          <w:szCs w:val="24"/>
        </w:rPr>
      </w:pPr>
    </w:p>
    <w:p w:rsidR="00E44D5B" w:rsidRPr="00E44D5B" w:rsidRDefault="00E44D5B" w:rsidP="00E867C6">
      <w:pPr>
        <w:spacing w:after="0" w:line="240" w:lineRule="auto"/>
        <w:contextualSpacing/>
        <w:rPr>
          <w:rFonts w:eastAsia="Arial Unicode MS" w:cs="Times New Roman"/>
          <w:sz w:val="24"/>
          <w:szCs w:val="24"/>
        </w:rPr>
      </w:pPr>
      <w:r w:rsidRPr="00E44D5B">
        <w:rPr>
          <w:rFonts w:eastAsia="Arial Unicode MS" w:cs="Times New Roman"/>
          <w:noProof/>
          <w:sz w:val="24"/>
          <w:szCs w:val="24"/>
        </w:rPr>
        <w:lastRenderedPageBreak/>
        <w:drawing>
          <wp:inline distT="0" distB="0" distL="0" distR="0" wp14:anchorId="64085172" wp14:editId="04C1EFE9">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E44D5B" w:rsidRPr="00533C43" w:rsidRDefault="00E44D5B" w:rsidP="00E867C6">
      <w:pPr>
        <w:spacing w:after="0" w:line="240" w:lineRule="auto"/>
        <w:contextualSpacing/>
        <w:rPr>
          <w:rFonts w:eastAsia="Arial Unicode MS" w:cs="Times New Roman"/>
          <w:b/>
          <w:sz w:val="24"/>
          <w:szCs w:val="24"/>
        </w:rPr>
      </w:pPr>
    </w:p>
    <w:p w:rsidR="00E44D5B" w:rsidRDefault="00E44D5B" w:rsidP="00E867C6">
      <w:pPr>
        <w:spacing w:after="0" w:line="240" w:lineRule="auto"/>
        <w:contextualSpacing/>
        <w:rPr>
          <w:rFonts w:eastAsia="Arial Unicode MS" w:cs="Times New Roman"/>
          <w:b/>
          <w:sz w:val="24"/>
          <w:szCs w:val="24"/>
        </w:rPr>
      </w:pPr>
    </w:p>
    <w:p w:rsidR="00E44D5B" w:rsidRDefault="00E44D5B" w:rsidP="00E867C6">
      <w:pPr>
        <w:spacing w:after="0" w:line="240" w:lineRule="auto"/>
        <w:contextualSpacing/>
        <w:rPr>
          <w:rFonts w:eastAsia="Arial Unicode MS" w:cs="Times New Roman"/>
          <w:sz w:val="24"/>
          <w:szCs w:val="24"/>
        </w:rPr>
      </w:pPr>
      <w:r>
        <w:rPr>
          <w:rFonts w:eastAsia="Arial Unicode MS" w:cs="Times New Roman"/>
          <w:b/>
          <w:sz w:val="24"/>
          <w:szCs w:val="24"/>
        </w:rPr>
        <w:t xml:space="preserve">Other States: </w:t>
      </w:r>
      <w:r>
        <w:rPr>
          <w:rFonts w:eastAsia="Arial Unicode MS" w:cs="Times New Roman"/>
          <w:sz w:val="24"/>
          <w:szCs w:val="24"/>
        </w:rPr>
        <w:t xml:space="preserve">Before developing this proposal, we reviewed the </w:t>
      </w:r>
      <w:r w:rsidR="001F11BA">
        <w:rPr>
          <w:rFonts w:eastAsia="Arial Unicode MS" w:cs="Times New Roman"/>
          <w:sz w:val="24"/>
          <w:szCs w:val="24"/>
        </w:rPr>
        <w:t xml:space="preserve">Medicaid rate systems in </w:t>
      </w:r>
      <w:r>
        <w:rPr>
          <w:rFonts w:eastAsia="Arial Unicode MS" w:cs="Times New Roman"/>
          <w:sz w:val="24"/>
          <w:szCs w:val="24"/>
        </w:rPr>
        <w:t>place</w:t>
      </w:r>
      <w:r w:rsidR="001F11BA">
        <w:rPr>
          <w:rFonts w:eastAsia="Arial Unicode MS" w:cs="Times New Roman"/>
          <w:sz w:val="24"/>
          <w:szCs w:val="24"/>
        </w:rPr>
        <w:t xml:space="preserve"> in other states, to see what approaches were being used most often.  The current payment system in Minnesota, where rates are essentially frozen unless the Legislature acts to provide an increase, has not functioned well over the last twenty years and has resulted in a significant level of underfunding.  As the graphic below shows, we are also an outlier in that we do not currently use the cost and price features that are part of this proposal.</w:t>
      </w:r>
    </w:p>
    <w:p w:rsidR="001F11BA" w:rsidRDefault="001F11BA" w:rsidP="00E867C6">
      <w:pPr>
        <w:spacing w:after="0" w:line="240" w:lineRule="auto"/>
        <w:contextualSpacing/>
        <w:rPr>
          <w:rFonts w:eastAsia="Arial Unicode MS" w:cs="Times New Roman"/>
          <w:sz w:val="24"/>
          <w:szCs w:val="24"/>
        </w:rPr>
      </w:pPr>
    </w:p>
    <w:p w:rsidR="001F11BA" w:rsidRPr="00E44D5B" w:rsidRDefault="001F11BA" w:rsidP="00E867C6">
      <w:pPr>
        <w:spacing w:after="0" w:line="240" w:lineRule="auto"/>
        <w:contextualSpacing/>
        <w:rPr>
          <w:rFonts w:eastAsia="Arial Unicode MS" w:cs="Times New Roman"/>
          <w:sz w:val="24"/>
          <w:szCs w:val="24"/>
        </w:rPr>
      </w:pPr>
      <w:r w:rsidRPr="001F11BA">
        <w:rPr>
          <w:rFonts w:eastAsia="Arial Unicode MS" w:cs="Times New Roman"/>
          <w:noProof/>
          <w:sz w:val="24"/>
          <w:szCs w:val="24"/>
        </w:rPr>
        <w:drawing>
          <wp:inline distT="0" distB="0" distL="0" distR="0" wp14:anchorId="2FAF6385" wp14:editId="7121794F">
            <wp:extent cx="5943600" cy="2886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86075"/>
                    </a:xfrm>
                    <a:prstGeom prst="rect">
                      <a:avLst/>
                    </a:prstGeom>
                  </pic:spPr>
                </pic:pic>
              </a:graphicData>
            </a:graphic>
          </wp:inline>
        </w:drawing>
      </w:r>
    </w:p>
    <w:p w:rsidR="00E44D5B" w:rsidRDefault="00E44D5B" w:rsidP="00E867C6">
      <w:pPr>
        <w:spacing w:after="0" w:line="240" w:lineRule="auto"/>
        <w:contextualSpacing/>
        <w:rPr>
          <w:rFonts w:eastAsia="Arial Unicode MS" w:cs="Times New Roman"/>
          <w:b/>
          <w:sz w:val="24"/>
          <w:szCs w:val="24"/>
        </w:rPr>
      </w:pPr>
    </w:p>
    <w:p w:rsidR="00A02F6E" w:rsidRPr="00533C43" w:rsidRDefault="00A02F6E" w:rsidP="00E867C6">
      <w:pPr>
        <w:spacing w:after="0" w:line="240" w:lineRule="auto"/>
        <w:contextualSpacing/>
        <w:rPr>
          <w:rFonts w:eastAsia="Arial Unicode MS" w:cs="Times New Roman"/>
          <w:sz w:val="24"/>
          <w:szCs w:val="24"/>
        </w:rPr>
      </w:pPr>
      <w:r w:rsidRPr="00533C43">
        <w:rPr>
          <w:rFonts w:eastAsia="Arial Unicode MS" w:cs="Times New Roman"/>
          <w:b/>
          <w:sz w:val="24"/>
          <w:szCs w:val="24"/>
        </w:rPr>
        <w:t>Modeling Results:</w:t>
      </w:r>
      <w:r w:rsidRPr="00533C43">
        <w:rPr>
          <w:rFonts w:eastAsia="Arial Unicode MS" w:cs="Times New Roman"/>
          <w:sz w:val="24"/>
          <w:szCs w:val="24"/>
        </w:rPr>
        <w:t xml:space="preserve"> </w:t>
      </w:r>
      <w:r w:rsidR="001F11BA">
        <w:rPr>
          <w:rFonts w:eastAsia="Arial Unicode MS" w:cs="Times New Roman"/>
          <w:sz w:val="24"/>
          <w:szCs w:val="24"/>
        </w:rPr>
        <w:t>Working with DHS, we h</w:t>
      </w:r>
      <w:r w:rsidRPr="00533C43">
        <w:rPr>
          <w:rFonts w:eastAsia="Arial Unicode MS" w:cs="Times New Roman"/>
          <w:sz w:val="24"/>
          <w:szCs w:val="24"/>
        </w:rPr>
        <w:t xml:space="preserve">ave modeled the changes to the operating </w:t>
      </w:r>
      <w:r w:rsidR="001F11BA">
        <w:rPr>
          <w:rFonts w:eastAsia="Arial Unicode MS" w:cs="Times New Roman"/>
          <w:sz w:val="24"/>
          <w:szCs w:val="24"/>
        </w:rPr>
        <w:t xml:space="preserve">and external fixed components </w:t>
      </w:r>
      <w:r w:rsidRPr="00533C43">
        <w:rPr>
          <w:rFonts w:eastAsia="Arial Unicode MS" w:cs="Times New Roman"/>
          <w:sz w:val="24"/>
          <w:szCs w:val="24"/>
        </w:rPr>
        <w:t xml:space="preserve">described above </w:t>
      </w:r>
      <w:r w:rsidR="001F11BA">
        <w:rPr>
          <w:rFonts w:eastAsia="Arial Unicode MS" w:cs="Times New Roman"/>
          <w:sz w:val="24"/>
          <w:szCs w:val="24"/>
        </w:rPr>
        <w:t>using the</w:t>
      </w:r>
      <w:r w:rsidRPr="00533C43">
        <w:rPr>
          <w:rFonts w:eastAsia="Arial Unicode MS" w:cs="Times New Roman"/>
          <w:sz w:val="24"/>
          <w:szCs w:val="24"/>
        </w:rPr>
        <w:t xml:space="preserve"> 2013 cost reports </w:t>
      </w:r>
      <w:r w:rsidR="00B82167" w:rsidRPr="00533C43">
        <w:rPr>
          <w:rFonts w:eastAsia="Arial Unicode MS" w:cs="Times New Roman"/>
          <w:sz w:val="24"/>
          <w:szCs w:val="24"/>
        </w:rPr>
        <w:t xml:space="preserve">and have compared </w:t>
      </w:r>
      <w:r w:rsidR="00F2757A" w:rsidRPr="00533C43">
        <w:rPr>
          <w:rFonts w:eastAsia="Arial Unicode MS" w:cs="Times New Roman"/>
          <w:sz w:val="24"/>
          <w:szCs w:val="24"/>
        </w:rPr>
        <w:t>the new</w:t>
      </w:r>
      <w:r w:rsidR="00B82167" w:rsidRPr="00533C43">
        <w:rPr>
          <w:rFonts w:eastAsia="Arial Unicode MS" w:cs="Times New Roman"/>
          <w:sz w:val="24"/>
          <w:szCs w:val="24"/>
        </w:rPr>
        <w:t xml:space="preserve"> rates against current facility rates.  </w:t>
      </w:r>
      <w:r w:rsidR="008C078C">
        <w:rPr>
          <w:rFonts w:eastAsia="Arial Unicode MS" w:cs="Times New Roman"/>
          <w:sz w:val="24"/>
          <w:szCs w:val="24"/>
        </w:rPr>
        <w:t>The rate increase distribution is</w:t>
      </w:r>
      <w:r w:rsidR="00B82167" w:rsidRPr="00533C43">
        <w:rPr>
          <w:rFonts w:eastAsia="Arial Unicode MS" w:cs="Times New Roman"/>
          <w:sz w:val="24"/>
          <w:szCs w:val="24"/>
        </w:rPr>
        <w:t>:</w:t>
      </w:r>
    </w:p>
    <w:p w:rsidR="0003007B" w:rsidRPr="00533C43" w:rsidRDefault="0003007B" w:rsidP="00E867C6">
      <w:pPr>
        <w:spacing w:after="0" w:line="240" w:lineRule="auto"/>
        <w:contextualSpacing/>
        <w:rPr>
          <w:rFonts w:eastAsia="Arial Unicode MS" w:cs="Times New Roman"/>
          <w:sz w:val="24"/>
          <w:szCs w:val="24"/>
        </w:rPr>
      </w:pPr>
    </w:p>
    <w:tbl>
      <w:tblPr>
        <w:tblStyle w:val="GridTable1Light-Accent5"/>
        <w:tblW w:w="0" w:type="auto"/>
        <w:tblLook w:val="04A0" w:firstRow="1" w:lastRow="0" w:firstColumn="1" w:lastColumn="0" w:noHBand="0" w:noVBand="1"/>
      </w:tblPr>
      <w:tblGrid>
        <w:gridCol w:w="2515"/>
        <w:gridCol w:w="2430"/>
      </w:tblGrid>
      <w:tr w:rsidR="006E32C6" w:rsidRPr="00533C43" w:rsidTr="00FA75A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5" w:type="dxa"/>
            <w:noWrap/>
            <w:hideMark/>
          </w:tcPr>
          <w:p w:rsidR="0003007B" w:rsidRPr="00533C43" w:rsidRDefault="0003007B" w:rsidP="008C078C">
            <w:pPr>
              <w:contextualSpacing/>
              <w:rPr>
                <w:rFonts w:eastAsia="Arial Unicode MS" w:cs="Times New Roman"/>
                <w:sz w:val="24"/>
                <w:szCs w:val="24"/>
              </w:rPr>
            </w:pPr>
            <w:r w:rsidRPr="00533C43">
              <w:rPr>
                <w:rFonts w:eastAsia="Arial Unicode MS" w:cs="Times New Roman"/>
                <w:sz w:val="24"/>
                <w:szCs w:val="24"/>
              </w:rPr>
              <w:t xml:space="preserve">Percent increase in Revenue </w:t>
            </w:r>
          </w:p>
        </w:tc>
        <w:tc>
          <w:tcPr>
            <w:tcW w:w="2430" w:type="dxa"/>
            <w:noWrap/>
            <w:hideMark/>
          </w:tcPr>
          <w:p w:rsidR="0003007B" w:rsidRPr="00533C43" w:rsidRDefault="0003007B" w:rsidP="00FA75A8">
            <w:pPr>
              <w:contextualSpacing/>
              <w:jc w:val="center"/>
              <w:cnfStyle w:val="100000000000" w:firstRow="1" w:lastRow="0" w:firstColumn="0" w:lastColumn="0" w:oddVBand="0" w:evenVBand="0" w:oddHBand="0" w:evenHBand="0" w:firstRowFirstColumn="0" w:firstRowLastColumn="0" w:lastRowFirstColumn="0" w:lastRowLastColumn="0"/>
              <w:rPr>
                <w:rFonts w:eastAsia="Arial Unicode MS" w:cs="Times New Roman"/>
                <w:sz w:val="24"/>
                <w:szCs w:val="24"/>
              </w:rPr>
            </w:pPr>
            <w:r w:rsidRPr="00533C43">
              <w:rPr>
                <w:rFonts w:eastAsia="Arial Unicode MS" w:cs="Times New Roman"/>
                <w:sz w:val="24"/>
                <w:szCs w:val="24"/>
              </w:rPr>
              <w:t>Number of Nursing Facilities</w:t>
            </w:r>
          </w:p>
        </w:tc>
      </w:tr>
      <w:tr w:rsidR="006E32C6" w:rsidRPr="00533C43" w:rsidTr="00FA75A8">
        <w:trPr>
          <w:trHeight w:val="360"/>
        </w:trPr>
        <w:tc>
          <w:tcPr>
            <w:cnfStyle w:val="001000000000" w:firstRow="0" w:lastRow="0" w:firstColumn="1" w:lastColumn="0" w:oddVBand="0" w:evenVBand="0" w:oddHBand="0" w:evenHBand="0" w:firstRowFirstColumn="0" w:firstRowLastColumn="0" w:lastRowFirstColumn="0" w:lastRowLastColumn="0"/>
            <w:tcW w:w="2515" w:type="dxa"/>
            <w:noWrap/>
            <w:hideMark/>
          </w:tcPr>
          <w:p w:rsidR="0003007B" w:rsidRPr="00533C43" w:rsidRDefault="0003007B" w:rsidP="008C078C">
            <w:pPr>
              <w:contextualSpacing/>
              <w:rPr>
                <w:rFonts w:eastAsia="Arial Unicode MS" w:cs="Times New Roman"/>
                <w:b w:val="0"/>
                <w:sz w:val="24"/>
                <w:szCs w:val="24"/>
              </w:rPr>
            </w:pPr>
            <w:r w:rsidRPr="00533C43">
              <w:rPr>
                <w:rFonts w:eastAsia="Arial Unicode MS" w:cs="Times New Roman"/>
                <w:b w:val="0"/>
                <w:sz w:val="24"/>
                <w:szCs w:val="24"/>
              </w:rPr>
              <w:t xml:space="preserve">0% to </w:t>
            </w:r>
            <w:r w:rsidR="008C078C">
              <w:rPr>
                <w:rFonts w:eastAsia="Arial Unicode MS" w:cs="Times New Roman"/>
                <w:b w:val="0"/>
                <w:sz w:val="24"/>
                <w:szCs w:val="24"/>
              </w:rPr>
              <w:t>5</w:t>
            </w:r>
            <w:r w:rsidRPr="00533C43">
              <w:rPr>
                <w:rFonts w:eastAsia="Arial Unicode MS" w:cs="Times New Roman"/>
                <w:b w:val="0"/>
                <w:sz w:val="24"/>
                <w:szCs w:val="24"/>
              </w:rPr>
              <w:t>%</w:t>
            </w:r>
          </w:p>
        </w:tc>
        <w:tc>
          <w:tcPr>
            <w:tcW w:w="2430" w:type="dxa"/>
            <w:noWrap/>
            <w:hideMark/>
          </w:tcPr>
          <w:p w:rsidR="0003007B" w:rsidRPr="00533C43" w:rsidRDefault="008C078C" w:rsidP="00FA75A8">
            <w:pPr>
              <w:contextualSpacing/>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24"/>
                <w:szCs w:val="24"/>
              </w:rPr>
            </w:pPr>
            <w:r>
              <w:rPr>
                <w:rFonts w:eastAsia="Arial Unicode MS" w:cs="Times New Roman"/>
                <w:sz w:val="24"/>
                <w:szCs w:val="24"/>
              </w:rPr>
              <w:t>12</w:t>
            </w:r>
          </w:p>
        </w:tc>
      </w:tr>
      <w:tr w:rsidR="006E32C6" w:rsidRPr="00533C43" w:rsidTr="00FA75A8">
        <w:trPr>
          <w:trHeight w:val="360"/>
        </w:trPr>
        <w:tc>
          <w:tcPr>
            <w:cnfStyle w:val="001000000000" w:firstRow="0" w:lastRow="0" w:firstColumn="1" w:lastColumn="0" w:oddVBand="0" w:evenVBand="0" w:oddHBand="0" w:evenHBand="0" w:firstRowFirstColumn="0" w:firstRowLastColumn="0" w:lastRowFirstColumn="0" w:lastRowLastColumn="0"/>
            <w:tcW w:w="2515" w:type="dxa"/>
            <w:noWrap/>
            <w:hideMark/>
          </w:tcPr>
          <w:p w:rsidR="0003007B" w:rsidRPr="00533C43" w:rsidRDefault="0003007B" w:rsidP="008C078C">
            <w:pPr>
              <w:contextualSpacing/>
              <w:rPr>
                <w:rFonts w:eastAsia="Arial Unicode MS" w:cs="Times New Roman"/>
                <w:b w:val="0"/>
                <w:sz w:val="24"/>
                <w:szCs w:val="24"/>
              </w:rPr>
            </w:pPr>
            <w:r w:rsidRPr="00533C43">
              <w:rPr>
                <w:rFonts w:eastAsia="Arial Unicode MS" w:cs="Times New Roman"/>
                <w:b w:val="0"/>
                <w:sz w:val="24"/>
                <w:szCs w:val="24"/>
              </w:rPr>
              <w:t xml:space="preserve">5% to </w:t>
            </w:r>
            <w:r w:rsidR="008C078C">
              <w:rPr>
                <w:rFonts w:eastAsia="Arial Unicode MS" w:cs="Times New Roman"/>
                <w:b w:val="0"/>
                <w:sz w:val="24"/>
                <w:szCs w:val="24"/>
              </w:rPr>
              <w:t>10</w:t>
            </w:r>
            <w:r w:rsidRPr="00533C43">
              <w:rPr>
                <w:rFonts w:eastAsia="Arial Unicode MS" w:cs="Times New Roman"/>
                <w:b w:val="0"/>
                <w:sz w:val="24"/>
                <w:szCs w:val="24"/>
              </w:rPr>
              <w:t>%</w:t>
            </w:r>
          </w:p>
        </w:tc>
        <w:tc>
          <w:tcPr>
            <w:tcW w:w="2430" w:type="dxa"/>
            <w:noWrap/>
            <w:hideMark/>
          </w:tcPr>
          <w:p w:rsidR="0003007B" w:rsidRPr="00533C43" w:rsidRDefault="0003007B" w:rsidP="00FA75A8">
            <w:pPr>
              <w:contextualSpacing/>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24"/>
                <w:szCs w:val="24"/>
              </w:rPr>
            </w:pPr>
            <w:r w:rsidRPr="00533C43">
              <w:rPr>
                <w:rFonts w:eastAsia="Arial Unicode MS" w:cs="Times New Roman"/>
                <w:sz w:val="24"/>
                <w:szCs w:val="24"/>
              </w:rPr>
              <w:t>14</w:t>
            </w:r>
          </w:p>
        </w:tc>
      </w:tr>
      <w:tr w:rsidR="006E32C6" w:rsidRPr="00533C43" w:rsidTr="00FA75A8">
        <w:trPr>
          <w:trHeight w:val="360"/>
        </w:trPr>
        <w:tc>
          <w:tcPr>
            <w:cnfStyle w:val="001000000000" w:firstRow="0" w:lastRow="0" w:firstColumn="1" w:lastColumn="0" w:oddVBand="0" w:evenVBand="0" w:oddHBand="0" w:evenHBand="0" w:firstRowFirstColumn="0" w:firstRowLastColumn="0" w:lastRowFirstColumn="0" w:lastRowLastColumn="0"/>
            <w:tcW w:w="2515" w:type="dxa"/>
            <w:noWrap/>
            <w:hideMark/>
          </w:tcPr>
          <w:p w:rsidR="0003007B" w:rsidRPr="00533C43" w:rsidRDefault="0003007B" w:rsidP="008C078C">
            <w:pPr>
              <w:contextualSpacing/>
              <w:rPr>
                <w:rFonts w:eastAsia="Arial Unicode MS" w:cs="Times New Roman"/>
                <w:b w:val="0"/>
                <w:sz w:val="24"/>
                <w:szCs w:val="24"/>
              </w:rPr>
            </w:pPr>
            <w:r w:rsidRPr="00533C43">
              <w:rPr>
                <w:rFonts w:eastAsia="Arial Unicode MS" w:cs="Times New Roman"/>
                <w:b w:val="0"/>
                <w:sz w:val="24"/>
                <w:szCs w:val="24"/>
              </w:rPr>
              <w:t xml:space="preserve">10% to </w:t>
            </w:r>
            <w:r w:rsidR="008C078C">
              <w:rPr>
                <w:rFonts w:eastAsia="Arial Unicode MS" w:cs="Times New Roman"/>
                <w:b w:val="0"/>
                <w:sz w:val="24"/>
                <w:szCs w:val="24"/>
              </w:rPr>
              <w:t>15</w:t>
            </w:r>
            <w:r w:rsidRPr="00533C43">
              <w:rPr>
                <w:rFonts w:eastAsia="Arial Unicode MS" w:cs="Times New Roman"/>
                <w:b w:val="0"/>
                <w:sz w:val="24"/>
                <w:szCs w:val="24"/>
              </w:rPr>
              <w:t>%</w:t>
            </w:r>
          </w:p>
        </w:tc>
        <w:tc>
          <w:tcPr>
            <w:tcW w:w="2430" w:type="dxa"/>
            <w:noWrap/>
            <w:hideMark/>
          </w:tcPr>
          <w:p w:rsidR="0003007B" w:rsidRPr="00533C43" w:rsidRDefault="008C078C" w:rsidP="00FA75A8">
            <w:pPr>
              <w:contextualSpacing/>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24"/>
                <w:szCs w:val="24"/>
              </w:rPr>
            </w:pPr>
            <w:r>
              <w:rPr>
                <w:rFonts w:eastAsia="Arial Unicode MS" w:cs="Times New Roman"/>
                <w:sz w:val="24"/>
                <w:szCs w:val="24"/>
              </w:rPr>
              <w:t>19</w:t>
            </w:r>
          </w:p>
        </w:tc>
      </w:tr>
      <w:tr w:rsidR="006E32C6" w:rsidRPr="00533C43" w:rsidTr="00FA75A8">
        <w:trPr>
          <w:trHeight w:val="360"/>
        </w:trPr>
        <w:tc>
          <w:tcPr>
            <w:cnfStyle w:val="001000000000" w:firstRow="0" w:lastRow="0" w:firstColumn="1" w:lastColumn="0" w:oddVBand="0" w:evenVBand="0" w:oddHBand="0" w:evenHBand="0" w:firstRowFirstColumn="0" w:firstRowLastColumn="0" w:lastRowFirstColumn="0" w:lastRowLastColumn="0"/>
            <w:tcW w:w="2515" w:type="dxa"/>
            <w:noWrap/>
            <w:hideMark/>
          </w:tcPr>
          <w:p w:rsidR="0003007B" w:rsidRPr="00533C43" w:rsidRDefault="0003007B" w:rsidP="008C078C">
            <w:pPr>
              <w:contextualSpacing/>
              <w:rPr>
                <w:rFonts w:eastAsia="Arial Unicode MS" w:cs="Times New Roman"/>
                <w:b w:val="0"/>
                <w:sz w:val="24"/>
                <w:szCs w:val="24"/>
              </w:rPr>
            </w:pPr>
            <w:r w:rsidRPr="00533C43">
              <w:rPr>
                <w:rFonts w:eastAsia="Arial Unicode MS" w:cs="Times New Roman"/>
                <w:b w:val="0"/>
                <w:sz w:val="24"/>
                <w:szCs w:val="24"/>
              </w:rPr>
              <w:t xml:space="preserve">15% to </w:t>
            </w:r>
            <w:r w:rsidR="008C078C">
              <w:rPr>
                <w:rFonts w:eastAsia="Arial Unicode MS" w:cs="Times New Roman"/>
                <w:b w:val="0"/>
                <w:sz w:val="24"/>
                <w:szCs w:val="24"/>
              </w:rPr>
              <w:t>20</w:t>
            </w:r>
            <w:r w:rsidRPr="00533C43">
              <w:rPr>
                <w:rFonts w:eastAsia="Arial Unicode MS" w:cs="Times New Roman"/>
                <w:b w:val="0"/>
                <w:sz w:val="24"/>
                <w:szCs w:val="24"/>
              </w:rPr>
              <w:t>%</w:t>
            </w:r>
          </w:p>
        </w:tc>
        <w:tc>
          <w:tcPr>
            <w:tcW w:w="2430" w:type="dxa"/>
            <w:noWrap/>
            <w:hideMark/>
          </w:tcPr>
          <w:p w:rsidR="0003007B" w:rsidRPr="00533C43" w:rsidRDefault="008C078C" w:rsidP="00FA75A8">
            <w:pPr>
              <w:contextualSpacing/>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24"/>
                <w:szCs w:val="24"/>
              </w:rPr>
            </w:pPr>
            <w:r>
              <w:rPr>
                <w:rFonts w:eastAsia="Arial Unicode MS" w:cs="Times New Roman"/>
                <w:sz w:val="24"/>
                <w:szCs w:val="24"/>
              </w:rPr>
              <w:t>55</w:t>
            </w:r>
          </w:p>
        </w:tc>
      </w:tr>
      <w:tr w:rsidR="006E32C6" w:rsidRPr="00533C43" w:rsidTr="00FA75A8">
        <w:trPr>
          <w:trHeight w:val="360"/>
        </w:trPr>
        <w:tc>
          <w:tcPr>
            <w:cnfStyle w:val="001000000000" w:firstRow="0" w:lastRow="0" w:firstColumn="1" w:lastColumn="0" w:oddVBand="0" w:evenVBand="0" w:oddHBand="0" w:evenHBand="0" w:firstRowFirstColumn="0" w:firstRowLastColumn="0" w:lastRowFirstColumn="0" w:lastRowLastColumn="0"/>
            <w:tcW w:w="2515" w:type="dxa"/>
            <w:noWrap/>
            <w:hideMark/>
          </w:tcPr>
          <w:p w:rsidR="0003007B" w:rsidRPr="00533C43" w:rsidRDefault="0003007B" w:rsidP="008C078C">
            <w:pPr>
              <w:contextualSpacing/>
              <w:rPr>
                <w:rFonts w:eastAsia="Arial Unicode MS" w:cs="Times New Roman"/>
                <w:b w:val="0"/>
                <w:sz w:val="24"/>
                <w:szCs w:val="24"/>
              </w:rPr>
            </w:pPr>
            <w:r w:rsidRPr="00533C43">
              <w:rPr>
                <w:rFonts w:eastAsia="Arial Unicode MS" w:cs="Times New Roman"/>
                <w:b w:val="0"/>
                <w:sz w:val="24"/>
                <w:szCs w:val="24"/>
              </w:rPr>
              <w:t xml:space="preserve">20% to </w:t>
            </w:r>
            <w:r w:rsidR="008C078C">
              <w:rPr>
                <w:rFonts w:eastAsia="Arial Unicode MS" w:cs="Times New Roman"/>
                <w:b w:val="0"/>
                <w:sz w:val="24"/>
                <w:szCs w:val="24"/>
              </w:rPr>
              <w:t>25</w:t>
            </w:r>
            <w:r w:rsidRPr="00533C43">
              <w:rPr>
                <w:rFonts w:eastAsia="Arial Unicode MS" w:cs="Times New Roman"/>
                <w:b w:val="0"/>
                <w:sz w:val="24"/>
                <w:szCs w:val="24"/>
              </w:rPr>
              <w:t>%</w:t>
            </w:r>
          </w:p>
        </w:tc>
        <w:tc>
          <w:tcPr>
            <w:tcW w:w="2430" w:type="dxa"/>
            <w:noWrap/>
            <w:hideMark/>
          </w:tcPr>
          <w:p w:rsidR="0003007B" w:rsidRPr="00533C43" w:rsidRDefault="008C078C" w:rsidP="00FA75A8">
            <w:pPr>
              <w:contextualSpacing/>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24"/>
                <w:szCs w:val="24"/>
              </w:rPr>
            </w:pPr>
            <w:r>
              <w:rPr>
                <w:rFonts w:eastAsia="Arial Unicode MS" w:cs="Times New Roman"/>
                <w:sz w:val="24"/>
                <w:szCs w:val="24"/>
              </w:rPr>
              <w:t>70</w:t>
            </w:r>
          </w:p>
        </w:tc>
      </w:tr>
      <w:tr w:rsidR="006E32C6" w:rsidRPr="00533C43" w:rsidTr="00FA75A8">
        <w:trPr>
          <w:trHeight w:val="360"/>
        </w:trPr>
        <w:tc>
          <w:tcPr>
            <w:cnfStyle w:val="001000000000" w:firstRow="0" w:lastRow="0" w:firstColumn="1" w:lastColumn="0" w:oddVBand="0" w:evenVBand="0" w:oddHBand="0" w:evenHBand="0" w:firstRowFirstColumn="0" w:firstRowLastColumn="0" w:lastRowFirstColumn="0" w:lastRowLastColumn="0"/>
            <w:tcW w:w="2515" w:type="dxa"/>
            <w:noWrap/>
            <w:hideMark/>
          </w:tcPr>
          <w:p w:rsidR="0003007B" w:rsidRPr="00533C43" w:rsidRDefault="0003007B" w:rsidP="008C078C">
            <w:pPr>
              <w:contextualSpacing/>
              <w:rPr>
                <w:rFonts w:eastAsia="Arial Unicode MS" w:cs="Times New Roman"/>
                <w:b w:val="0"/>
                <w:sz w:val="24"/>
                <w:szCs w:val="24"/>
              </w:rPr>
            </w:pPr>
            <w:r w:rsidRPr="00533C43">
              <w:rPr>
                <w:rFonts w:eastAsia="Arial Unicode MS" w:cs="Times New Roman"/>
                <w:b w:val="0"/>
                <w:sz w:val="24"/>
                <w:szCs w:val="24"/>
              </w:rPr>
              <w:t xml:space="preserve">25% to </w:t>
            </w:r>
            <w:r w:rsidR="008C078C">
              <w:rPr>
                <w:rFonts w:eastAsia="Arial Unicode MS" w:cs="Times New Roman"/>
                <w:b w:val="0"/>
                <w:sz w:val="24"/>
                <w:szCs w:val="24"/>
              </w:rPr>
              <w:t>30</w:t>
            </w:r>
            <w:r w:rsidRPr="00533C43">
              <w:rPr>
                <w:rFonts w:eastAsia="Arial Unicode MS" w:cs="Times New Roman"/>
                <w:b w:val="0"/>
                <w:sz w:val="24"/>
                <w:szCs w:val="24"/>
              </w:rPr>
              <w:t>%</w:t>
            </w:r>
          </w:p>
        </w:tc>
        <w:tc>
          <w:tcPr>
            <w:tcW w:w="2430" w:type="dxa"/>
            <w:noWrap/>
            <w:hideMark/>
          </w:tcPr>
          <w:p w:rsidR="0003007B" w:rsidRPr="00533C43" w:rsidRDefault="008C078C" w:rsidP="00FA75A8">
            <w:pPr>
              <w:contextualSpacing/>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24"/>
                <w:szCs w:val="24"/>
              </w:rPr>
            </w:pPr>
            <w:r>
              <w:rPr>
                <w:rFonts w:eastAsia="Arial Unicode MS" w:cs="Times New Roman"/>
                <w:sz w:val="24"/>
                <w:szCs w:val="24"/>
              </w:rPr>
              <w:t>83</w:t>
            </w:r>
          </w:p>
        </w:tc>
      </w:tr>
      <w:tr w:rsidR="006E32C6" w:rsidRPr="00533C43" w:rsidTr="00FA75A8">
        <w:trPr>
          <w:trHeight w:val="360"/>
        </w:trPr>
        <w:tc>
          <w:tcPr>
            <w:cnfStyle w:val="001000000000" w:firstRow="0" w:lastRow="0" w:firstColumn="1" w:lastColumn="0" w:oddVBand="0" w:evenVBand="0" w:oddHBand="0" w:evenHBand="0" w:firstRowFirstColumn="0" w:firstRowLastColumn="0" w:lastRowFirstColumn="0" w:lastRowLastColumn="0"/>
            <w:tcW w:w="2515" w:type="dxa"/>
            <w:noWrap/>
            <w:hideMark/>
          </w:tcPr>
          <w:p w:rsidR="0003007B" w:rsidRPr="00533C43" w:rsidRDefault="0003007B" w:rsidP="008C078C">
            <w:pPr>
              <w:contextualSpacing/>
              <w:rPr>
                <w:rFonts w:eastAsia="Arial Unicode MS" w:cs="Times New Roman"/>
                <w:b w:val="0"/>
                <w:sz w:val="24"/>
                <w:szCs w:val="24"/>
              </w:rPr>
            </w:pPr>
            <w:r w:rsidRPr="00533C43">
              <w:rPr>
                <w:rFonts w:eastAsia="Arial Unicode MS" w:cs="Times New Roman"/>
                <w:b w:val="0"/>
                <w:sz w:val="24"/>
                <w:szCs w:val="24"/>
              </w:rPr>
              <w:t xml:space="preserve">30% to </w:t>
            </w:r>
            <w:r w:rsidR="008C078C">
              <w:rPr>
                <w:rFonts w:eastAsia="Arial Unicode MS" w:cs="Times New Roman"/>
                <w:b w:val="0"/>
                <w:sz w:val="24"/>
                <w:szCs w:val="24"/>
              </w:rPr>
              <w:t>35</w:t>
            </w:r>
            <w:r w:rsidRPr="00533C43">
              <w:rPr>
                <w:rFonts w:eastAsia="Arial Unicode MS" w:cs="Times New Roman"/>
                <w:b w:val="0"/>
                <w:sz w:val="24"/>
                <w:szCs w:val="24"/>
              </w:rPr>
              <w:t>%</w:t>
            </w:r>
          </w:p>
        </w:tc>
        <w:tc>
          <w:tcPr>
            <w:tcW w:w="2430" w:type="dxa"/>
            <w:noWrap/>
            <w:hideMark/>
          </w:tcPr>
          <w:p w:rsidR="0003007B" w:rsidRPr="00533C43" w:rsidRDefault="008C078C" w:rsidP="00FA75A8">
            <w:pPr>
              <w:contextualSpacing/>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24"/>
                <w:szCs w:val="24"/>
              </w:rPr>
            </w:pPr>
            <w:r>
              <w:rPr>
                <w:rFonts w:eastAsia="Arial Unicode MS" w:cs="Times New Roman"/>
                <w:sz w:val="24"/>
                <w:szCs w:val="24"/>
              </w:rPr>
              <w:t>59</w:t>
            </w:r>
          </w:p>
        </w:tc>
      </w:tr>
      <w:tr w:rsidR="006E32C6" w:rsidRPr="00533C43" w:rsidTr="00FA75A8">
        <w:trPr>
          <w:trHeight w:val="360"/>
        </w:trPr>
        <w:tc>
          <w:tcPr>
            <w:cnfStyle w:val="001000000000" w:firstRow="0" w:lastRow="0" w:firstColumn="1" w:lastColumn="0" w:oddVBand="0" w:evenVBand="0" w:oddHBand="0" w:evenHBand="0" w:firstRowFirstColumn="0" w:firstRowLastColumn="0" w:lastRowFirstColumn="0" w:lastRowLastColumn="0"/>
            <w:tcW w:w="2515" w:type="dxa"/>
            <w:noWrap/>
            <w:hideMark/>
          </w:tcPr>
          <w:p w:rsidR="0003007B" w:rsidRPr="00533C43" w:rsidRDefault="0003007B" w:rsidP="008C078C">
            <w:pPr>
              <w:contextualSpacing/>
              <w:rPr>
                <w:rFonts w:eastAsia="Arial Unicode MS" w:cs="Times New Roman"/>
                <w:b w:val="0"/>
                <w:sz w:val="24"/>
                <w:szCs w:val="24"/>
              </w:rPr>
            </w:pPr>
            <w:r w:rsidRPr="00533C43">
              <w:rPr>
                <w:rFonts w:eastAsia="Arial Unicode MS" w:cs="Times New Roman"/>
                <w:b w:val="0"/>
                <w:sz w:val="24"/>
                <w:szCs w:val="24"/>
              </w:rPr>
              <w:t xml:space="preserve">35% to </w:t>
            </w:r>
            <w:r w:rsidR="008C078C">
              <w:rPr>
                <w:rFonts w:eastAsia="Arial Unicode MS" w:cs="Times New Roman"/>
                <w:b w:val="0"/>
                <w:sz w:val="24"/>
                <w:szCs w:val="24"/>
              </w:rPr>
              <w:t>40</w:t>
            </w:r>
            <w:r w:rsidRPr="00533C43">
              <w:rPr>
                <w:rFonts w:eastAsia="Arial Unicode MS" w:cs="Times New Roman"/>
                <w:b w:val="0"/>
                <w:sz w:val="24"/>
                <w:szCs w:val="24"/>
              </w:rPr>
              <w:t>%</w:t>
            </w:r>
          </w:p>
        </w:tc>
        <w:tc>
          <w:tcPr>
            <w:tcW w:w="2430" w:type="dxa"/>
            <w:noWrap/>
            <w:hideMark/>
          </w:tcPr>
          <w:p w:rsidR="0003007B" w:rsidRPr="00533C43" w:rsidRDefault="008C078C" w:rsidP="00FA75A8">
            <w:pPr>
              <w:contextualSpacing/>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24"/>
                <w:szCs w:val="24"/>
              </w:rPr>
            </w:pPr>
            <w:r>
              <w:rPr>
                <w:rFonts w:eastAsia="Arial Unicode MS" w:cs="Times New Roman"/>
                <w:sz w:val="24"/>
                <w:szCs w:val="24"/>
              </w:rPr>
              <w:t>26</w:t>
            </w:r>
          </w:p>
        </w:tc>
      </w:tr>
      <w:tr w:rsidR="006E32C6" w:rsidRPr="00533C43" w:rsidTr="00FA75A8">
        <w:trPr>
          <w:trHeight w:val="360"/>
        </w:trPr>
        <w:tc>
          <w:tcPr>
            <w:cnfStyle w:val="001000000000" w:firstRow="0" w:lastRow="0" w:firstColumn="1" w:lastColumn="0" w:oddVBand="0" w:evenVBand="0" w:oddHBand="0" w:evenHBand="0" w:firstRowFirstColumn="0" w:firstRowLastColumn="0" w:lastRowFirstColumn="0" w:lastRowLastColumn="0"/>
            <w:tcW w:w="2515" w:type="dxa"/>
            <w:noWrap/>
            <w:hideMark/>
          </w:tcPr>
          <w:p w:rsidR="0003007B" w:rsidRPr="00533C43" w:rsidRDefault="0003007B" w:rsidP="0003007B">
            <w:pPr>
              <w:contextualSpacing/>
              <w:rPr>
                <w:rFonts w:eastAsia="Arial Unicode MS" w:cs="Times New Roman"/>
                <w:b w:val="0"/>
                <w:sz w:val="24"/>
                <w:szCs w:val="24"/>
              </w:rPr>
            </w:pPr>
            <w:r w:rsidRPr="00533C43">
              <w:rPr>
                <w:rFonts w:eastAsia="Arial Unicode MS" w:cs="Times New Roman"/>
                <w:b w:val="0"/>
                <w:sz w:val="24"/>
                <w:szCs w:val="24"/>
              </w:rPr>
              <w:t>40% or Greater</w:t>
            </w:r>
          </w:p>
        </w:tc>
        <w:tc>
          <w:tcPr>
            <w:tcW w:w="2430" w:type="dxa"/>
            <w:noWrap/>
            <w:hideMark/>
          </w:tcPr>
          <w:p w:rsidR="0003007B" w:rsidRPr="00533C43" w:rsidRDefault="008C078C" w:rsidP="00FA75A8">
            <w:pPr>
              <w:contextualSpacing/>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24"/>
                <w:szCs w:val="24"/>
              </w:rPr>
            </w:pPr>
            <w:r>
              <w:rPr>
                <w:rFonts w:eastAsia="Arial Unicode MS" w:cs="Times New Roman"/>
                <w:sz w:val="24"/>
                <w:szCs w:val="24"/>
              </w:rPr>
              <w:t>29</w:t>
            </w:r>
          </w:p>
        </w:tc>
      </w:tr>
    </w:tbl>
    <w:p w:rsidR="0003007B" w:rsidRPr="00533C43" w:rsidRDefault="0003007B" w:rsidP="00E867C6">
      <w:pPr>
        <w:spacing w:after="0" w:line="240" w:lineRule="auto"/>
        <w:contextualSpacing/>
        <w:rPr>
          <w:rFonts w:eastAsia="Arial Unicode MS" w:cs="Times New Roman"/>
          <w:sz w:val="24"/>
          <w:szCs w:val="24"/>
        </w:rPr>
      </w:pPr>
    </w:p>
    <w:p w:rsidR="0003007B" w:rsidRPr="00533C43" w:rsidRDefault="002E3738" w:rsidP="00E867C6">
      <w:pPr>
        <w:spacing w:after="0" w:line="240" w:lineRule="auto"/>
        <w:contextualSpacing/>
        <w:rPr>
          <w:rFonts w:eastAsia="Arial Unicode MS" w:cs="Times New Roman"/>
          <w:sz w:val="24"/>
          <w:szCs w:val="24"/>
        </w:rPr>
      </w:pPr>
      <w:r w:rsidRPr="00533C43">
        <w:rPr>
          <w:rFonts w:eastAsia="Arial Unicode MS" w:cs="Times New Roman"/>
          <w:sz w:val="24"/>
          <w:szCs w:val="24"/>
        </w:rPr>
        <w:t>Additional facts of full implementation</w:t>
      </w:r>
      <w:r w:rsidR="008C6E0F" w:rsidRPr="00533C43">
        <w:rPr>
          <w:rFonts w:eastAsia="Arial Unicode MS" w:cs="Times New Roman"/>
          <w:sz w:val="24"/>
          <w:szCs w:val="24"/>
        </w:rPr>
        <w:t>:</w:t>
      </w:r>
    </w:p>
    <w:p w:rsidR="00B82167" w:rsidRPr="00533C43" w:rsidRDefault="00B82167" w:rsidP="00E867C6">
      <w:pPr>
        <w:pStyle w:val="ListParagraph"/>
        <w:numPr>
          <w:ilvl w:val="0"/>
          <w:numId w:val="1"/>
        </w:numPr>
        <w:spacing w:after="0" w:line="240" w:lineRule="auto"/>
        <w:rPr>
          <w:rFonts w:eastAsia="Arial Unicode MS" w:cs="Times New Roman"/>
          <w:sz w:val="24"/>
          <w:szCs w:val="24"/>
        </w:rPr>
      </w:pPr>
      <w:r w:rsidRPr="00533C43">
        <w:rPr>
          <w:rFonts w:eastAsia="Arial Unicode MS" w:cs="Times New Roman"/>
          <w:sz w:val="24"/>
          <w:szCs w:val="24"/>
        </w:rPr>
        <w:t>Average rate increase of 2</w:t>
      </w:r>
      <w:r w:rsidR="008C078C">
        <w:rPr>
          <w:rFonts w:eastAsia="Arial Unicode MS" w:cs="Times New Roman"/>
          <w:sz w:val="24"/>
          <w:szCs w:val="24"/>
        </w:rPr>
        <w:t>5</w:t>
      </w:r>
      <w:r w:rsidRPr="00533C43">
        <w:rPr>
          <w:rFonts w:eastAsia="Arial Unicode MS" w:cs="Times New Roman"/>
          <w:sz w:val="24"/>
          <w:szCs w:val="24"/>
        </w:rPr>
        <w:t>%</w:t>
      </w:r>
    </w:p>
    <w:p w:rsidR="00B82167" w:rsidRPr="00533C43" w:rsidRDefault="00B82167" w:rsidP="008C6E0F">
      <w:pPr>
        <w:pStyle w:val="ListParagraph"/>
        <w:numPr>
          <w:ilvl w:val="0"/>
          <w:numId w:val="1"/>
        </w:numPr>
        <w:spacing w:after="0" w:line="240" w:lineRule="auto"/>
        <w:rPr>
          <w:rFonts w:eastAsia="Arial Unicode MS" w:cs="Times New Roman"/>
          <w:sz w:val="24"/>
          <w:szCs w:val="24"/>
        </w:rPr>
      </w:pPr>
      <w:r w:rsidRPr="00533C43">
        <w:rPr>
          <w:rFonts w:eastAsia="Arial Unicode MS" w:cs="Times New Roman"/>
          <w:sz w:val="24"/>
          <w:szCs w:val="24"/>
        </w:rPr>
        <w:t xml:space="preserve">Rate increases are </w:t>
      </w:r>
      <w:r w:rsidR="008C078C">
        <w:rPr>
          <w:rFonts w:eastAsia="Arial Unicode MS" w:cs="Times New Roman"/>
          <w:sz w:val="24"/>
          <w:szCs w:val="24"/>
        </w:rPr>
        <w:t>slightly higher</w:t>
      </w:r>
      <w:r w:rsidRPr="00533C43">
        <w:rPr>
          <w:rFonts w:eastAsia="Arial Unicode MS" w:cs="Times New Roman"/>
          <w:sz w:val="24"/>
          <w:szCs w:val="24"/>
        </w:rPr>
        <w:t xml:space="preserve"> in </w:t>
      </w:r>
      <w:r w:rsidR="008C078C">
        <w:rPr>
          <w:rFonts w:eastAsia="Arial Unicode MS" w:cs="Times New Roman"/>
          <w:sz w:val="24"/>
          <w:szCs w:val="24"/>
        </w:rPr>
        <w:t>gold (rural)</w:t>
      </w:r>
      <w:r w:rsidRPr="00533C43">
        <w:rPr>
          <w:rFonts w:eastAsia="Arial Unicode MS" w:cs="Times New Roman"/>
          <w:sz w:val="24"/>
          <w:szCs w:val="24"/>
        </w:rPr>
        <w:t xml:space="preserve"> group (</w:t>
      </w:r>
      <w:r w:rsidR="008C078C">
        <w:rPr>
          <w:rFonts w:eastAsia="Arial Unicode MS" w:cs="Times New Roman"/>
          <w:sz w:val="24"/>
          <w:szCs w:val="24"/>
        </w:rPr>
        <w:t>27</w:t>
      </w:r>
      <w:r w:rsidRPr="00533C43">
        <w:rPr>
          <w:rFonts w:eastAsia="Arial Unicode MS" w:cs="Times New Roman"/>
          <w:sz w:val="24"/>
          <w:szCs w:val="24"/>
        </w:rPr>
        <w:t xml:space="preserve">% in </w:t>
      </w:r>
      <w:r w:rsidR="008C078C">
        <w:rPr>
          <w:rFonts w:eastAsia="Arial Unicode MS" w:cs="Times New Roman"/>
          <w:sz w:val="24"/>
          <w:szCs w:val="24"/>
        </w:rPr>
        <w:t xml:space="preserve">gold </w:t>
      </w:r>
      <w:r w:rsidRPr="00533C43">
        <w:rPr>
          <w:rFonts w:eastAsia="Arial Unicode MS" w:cs="Times New Roman"/>
          <w:sz w:val="24"/>
          <w:szCs w:val="24"/>
        </w:rPr>
        <w:t xml:space="preserve">group, </w:t>
      </w:r>
      <w:r w:rsidR="008C078C">
        <w:rPr>
          <w:rFonts w:eastAsia="Arial Unicode MS" w:cs="Times New Roman"/>
          <w:sz w:val="24"/>
          <w:szCs w:val="24"/>
        </w:rPr>
        <w:t>24</w:t>
      </w:r>
      <w:r w:rsidRPr="00533C43">
        <w:rPr>
          <w:rFonts w:eastAsia="Arial Unicode MS" w:cs="Times New Roman"/>
          <w:sz w:val="24"/>
          <w:szCs w:val="24"/>
        </w:rPr>
        <w:t xml:space="preserve">% in </w:t>
      </w:r>
      <w:r w:rsidR="008C078C">
        <w:rPr>
          <w:rFonts w:eastAsia="Arial Unicode MS" w:cs="Times New Roman"/>
          <w:sz w:val="24"/>
          <w:szCs w:val="24"/>
        </w:rPr>
        <w:t>maroon</w:t>
      </w:r>
      <w:r w:rsidRPr="00533C43">
        <w:rPr>
          <w:rFonts w:eastAsia="Arial Unicode MS" w:cs="Times New Roman"/>
          <w:sz w:val="24"/>
          <w:szCs w:val="24"/>
        </w:rPr>
        <w:t>)</w:t>
      </w:r>
    </w:p>
    <w:p w:rsidR="00B25451" w:rsidRPr="00533C43" w:rsidRDefault="00B25451" w:rsidP="00E867C6">
      <w:pPr>
        <w:pStyle w:val="ListParagraph"/>
        <w:numPr>
          <w:ilvl w:val="0"/>
          <w:numId w:val="1"/>
        </w:numPr>
        <w:spacing w:after="0" w:line="240" w:lineRule="auto"/>
        <w:rPr>
          <w:rFonts w:eastAsia="Arial Unicode MS" w:cs="Times New Roman"/>
          <w:sz w:val="24"/>
          <w:szCs w:val="24"/>
        </w:rPr>
      </w:pPr>
      <w:r w:rsidRPr="00533C43">
        <w:rPr>
          <w:rFonts w:eastAsia="Arial Unicode MS" w:cs="Times New Roman"/>
          <w:sz w:val="24"/>
          <w:szCs w:val="24"/>
        </w:rPr>
        <w:t xml:space="preserve">Annual costs of new </w:t>
      </w:r>
      <w:r w:rsidR="008C6E0F" w:rsidRPr="00533C43">
        <w:rPr>
          <w:rFonts w:eastAsia="Arial Unicode MS" w:cs="Times New Roman"/>
          <w:sz w:val="24"/>
          <w:szCs w:val="24"/>
        </w:rPr>
        <w:t xml:space="preserve">operating payment </w:t>
      </w:r>
      <w:r w:rsidRPr="00533C43">
        <w:rPr>
          <w:rFonts w:eastAsia="Arial Unicode MS" w:cs="Times New Roman"/>
          <w:sz w:val="24"/>
          <w:szCs w:val="24"/>
        </w:rPr>
        <w:t>system to state is around $</w:t>
      </w:r>
      <w:r w:rsidR="008C078C">
        <w:rPr>
          <w:rFonts w:eastAsia="Arial Unicode MS" w:cs="Times New Roman"/>
          <w:sz w:val="24"/>
          <w:szCs w:val="24"/>
        </w:rPr>
        <w:t>105</w:t>
      </w:r>
      <w:r w:rsidRPr="00533C43">
        <w:rPr>
          <w:rFonts w:eastAsia="Arial Unicode MS" w:cs="Times New Roman"/>
          <w:sz w:val="24"/>
          <w:szCs w:val="24"/>
        </w:rPr>
        <w:t xml:space="preserve"> million</w:t>
      </w:r>
    </w:p>
    <w:p w:rsidR="008C078C" w:rsidRDefault="008C078C" w:rsidP="008C078C">
      <w:pPr>
        <w:pStyle w:val="Body"/>
        <w:spacing w:after="0" w:line="240" w:lineRule="auto"/>
        <w:contextualSpacing/>
        <w:rPr>
          <w:b/>
          <w:bCs/>
          <w:color w:val="auto"/>
          <w:sz w:val="28"/>
          <w:szCs w:val="28"/>
        </w:rPr>
      </w:pPr>
    </w:p>
    <w:p w:rsidR="008C078C" w:rsidRPr="007D0377" w:rsidRDefault="008C078C" w:rsidP="008C078C">
      <w:pPr>
        <w:pStyle w:val="Body"/>
        <w:spacing w:after="0" w:line="240" w:lineRule="auto"/>
        <w:contextualSpacing/>
        <w:rPr>
          <w:b/>
          <w:bCs/>
          <w:color w:val="auto"/>
          <w:sz w:val="28"/>
          <w:szCs w:val="28"/>
        </w:rPr>
      </w:pPr>
      <w:r w:rsidRPr="007D0377">
        <w:rPr>
          <w:b/>
          <w:bCs/>
          <w:color w:val="auto"/>
          <w:sz w:val="28"/>
          <w:szCs w:val="28"/>
        </w:rPr>
        <w:t>Stable, Predictable Funding for the Continuum of Care</w:t>
      </w:r>
    </w:p>
    <w:p w:rsidR="008C078C" w:rsidRDefault="008C078C" w:rsidP="008C078C">
      <w:pPr>
        <w:pStyle w:val="Body"/>
        <w:spacing w:after="0" w:line="240" w:lineRule="auto"/>
        <w:contextualSpacing/>
        <w:rPr>
          <w:color w:val="auto"/>
          <w:sz w:val="24"/>
          <w:szCs w:val="24"/>
        </w:rPr>
      </w:pPr>
      <w:r w:rsidRPr="007E2A05">
        <w:rPr>
          <w:color w:val="auto"/>
          <w:sz w:val="24"/>
          <w:szCs w:val="24"/>
        </w:rPr>
        <w:t xml:space="preserve">Another key part of payment reform is linking the Elderly Waiver budget caps to changes in nursing facility rates. The Elderly Waiver (EW) program funds home- and community-based services (HCBS), including services provided in assisted living settings for people age 65 and older who are eligible for </w:t>
      </w:r>
      <w:r w:rsidR="001332B1">
        <w:rPr>
          <w:color w:val="auto"/>
          <w:sz w:val="24"/>
          <w:szCs w:val="24"/>
        </w:rPr>
        <w:t>long-term care under Medicaid</w:t>
      </w:r>
      <w:r w:rsidRPr="007E2A05">
        <w:rPr>
          <w:color w:val="auto"/>
          <w:sz w:val="24"/>
          <w:szCs w:val="24"/>
        </w:rPr>
        <w:t xml:space="preserve"> (MA). </w:t>
      </w:r>
    </w:p>
    <w:p w:rsidR="001332B1" w:rsidRPr="007E2A05" w:rsidRDefault="001332B1" w:rsidP="008C078C">
      <w:pPr>
        <w:pStyle w:val="Body"/>
        <w:spacing w:after="0" w:line="240" w:lineRule="auto"/>
        <w:contextualSpacing/>
        <w:rPr>
          <w:color w:val="auto"/>
          <w:sz w:val="24"/>
          <w:szCs w:val="24"/>
        </w:rPr>
      </w:pPr>
    </w:p>
    <w:p w:rsidR="008C078C" w:rsidRDefault="008C078C" w:rsidP="008C078C">
      <w:pPr>
        <w:pStyle w:val="Body"/>
        <w:spacing w:after="0" w:line="240" w:lineRule="auto"/>
        <w:contextualSpacing/>
        <w:rPr>
          <w:bCs/>
          <w:color w:val="auto"/>
          <w:sz w:val="24"/>
          <w:szCs w:val="24"/>
        </w:rPr>
      </w:pPr>
      <w:r w:rsidRPr="007E2A05">
        <w:rPr>
          <w:color w:val="auto"/>
          <w:sz w:val="24"/>
          <w:szCs w:val="24"/>
        </w:rPr>
        <w:t>EW has successfully created opportunities for Medicaid recipients to access services in settings other than nursing facilities. Since the program began, it has saved the State of Minnesota billions of dollars by allowing for client choice and access to HCBS services. This legislation will re-institute the link between EW budget caps and nursing facility rate increases,</w:t>
      </w:r>
      <w:r w:rsidR="001332B1">
        <w:rPr>
          <w:color w:val="auto"/>
          <w:sz w:val="24"/>
          <w:szCs w:val="24"/>
        </w:rPr>
        <w:t xml:space="preserve"> </w:t>
      </w:r>
      <w:r w:rsidR="001332B1">
        <w:rPr>
          <w:bCs/>
          <w:color w:val="auto"/>
          <w:sz w:val="24"/>
          <w:szCs w:val="24"/>
        </w:rPr>
        <w:t>allowing seniors to choose the most cost effective and appropriate setting for the care they need.</w:t>
      </w:r>
    </w:p>
    <w:p w:rsidR="001332B1" w:rsidRPr="007E2A05" w:rsidRDefault="001332B1" w:rsidP="008C078C">
      <w:pPr>
        <w:pStyle w:val="Body"/>
        <w:spacing w:after="0" w:line="240" w:lineRule="auto"/>
        <w:contextualSpacing/>
        <w:rPr>
          <w:color w:val="auto"/>
          <w:sz w:val="24"/>
          <w:szCs w:val="24"/>
        </w:rPr>
      </w:pPr>
    </w:p>
    <w:p w:rsidR="008C078C" w:rsidRPr="001848F5" w:rsidRDefault="008C078C" w:rsidP="008C078C">
      <w:pPr>
        <w:pStyle w:val="Body"/>
        <w:spacing w:after="0" w:line="240" w:lineRule="auto"/>
        <w:contextualSpacing/>
        <w:rPr>
          <w:rFonts w:eastAsia="Trebuchet MS" w:cs="Trebuchet MS"/>
          <w:b/>
          <w:bCs/>
          <w:color w:val="auto"/>
          <w:sz w:val="28"/>
          <w:szCs w:val="24"/>
        </w:rPr>
      </w:pPr>
      <w:r w:rsidRPr="001848F5">
        <w:rPr>
          <w:b/>
          <w:bCs/>
          <w:color w:val="auto"/>
          <w:sz w:val="28"/>
          <w:szCs w:val="24"/>
        </w:rPr>
        <w:t>Cost</w:t>
      </w:r>
      <w:r w:rsidR="001332B1">
        <w:rPr>
          <w:b/>
          <w:bCs/>
          <w:color w:val="auto"/>
          <w:sz w:val="28"/>
          <w:szCs w:val="24"/>
        </w:rPr>
        <w:t xml:space="preserve"> of Bill</w:t>
      </w:r>
    </w:p>
    <w:p w:rsidR="000A6C2E" w:rsidRPr="00742BDD" w:rsidRDefault="008C078C" w:rsidP="001332B1">
      <w:pPr>
        <w:pStyle w:val="Body"/>
        <w:spacing w:after="0" w:line="240" w:lineRule="auto"/>
        <w:contextualSpacing/>
        <w:rPr>
          <w:rFonts w:ascii="Times New Roman" w:eastAsia="Arial Unicode MS" w:hAnsi="Times New Roman" w:cs="Times New Roman"/>
          <w:sz w:val="24"/>
          <w:szCs w:val="24"/>
        </w:rPr>
      </w:pPr>
      <w:r w:rsidRPr="007E2A05">
        <w:rPr>
          <w:color w:val="auto"/>
          <w:sz w:val="24"/>
          <w:szCs w:val="24"/>
        </w:rPr>
        <w:t>Initial cost estimates indicate that this legislation will cost about $200 million in state funds for the biennium with nursing facility operating payment system changes making up the bulk of the</w:t>
      </w:r>
      <w:r>
        <w:rPr>
          <w:color w:val="auto"/>
          <w:sz w:val="24"/>
          <w:szCs w:val="24"/>
        </w:rPr>
        <w:t xml:space="preserve"> proposal’s cost</w:t>
      </w:r>
      <w:r w:rsidRPr="007E2A05">
        <w:rPr>
          <w:color w:val="auto"/>
          <w:sz w:val="24"/>
          <w:szCs w:val="24"/>
        </w:rPr>
        <w:t>.</w:t>
      </w:r>
    </w:p>
    <w:sectPr w:rsidR="000A6C2E" w:rsidRPr="00742BDD" w:rsidSect="000D2B06">
      <w:headerReference w:type="default" r:id="rId9"/>
      <w:footerReference w:type="default" r:id="rId10"/>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60" w:rsidRDefault="00B37D60" w:rsidP="00417135">
      <w:pPr>
        <w:spacing w:after="0" w:line="240" w:lineRule="auto"/>
      </w:pPr>
      <w:r>
        <w:separator/>
      </w:r>
    </w:p>
  </w:endnote>
  <w:endnote w:type="continuationSeparator" w:id="0">
    <w:p w:rsidR="00B37D60" w:rsidRDefault="00B37D60" w:rsidP="0041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500097"/>
      <w:docPartObj>
        <w:docPartGallery w:val="Page Numbers (Bottom of Page)"/>
        <w:docPartUnique/>
      </w:docPartObj>
    </w:sdtPr>
    <w:sdtEndPr>
      <w:rPr>
        <w:color w:val="7F7F7F"/>
        <w:spacing w:val="60"/>
      </w:rPr>
    </w:sdtEndPr>
    <w:sdtContent>
      <w:p w:rsidR="00C10DE0" w:rsidRDefault="00C10DE0" w:rsidP="00723744">
        <w:pPr>
          <w:pStyle w:val="Footer"/>
          <w:pBdr>
            <w:top w:val="single" w:sz="4" w:space="1" w:color="D9D9D9"/>
          </w:pBdr>
          <w:jc w:val="right"/>
        </w:pPr>
        <w:r>
          <w:fldChar w:fldCharType="begin"/>
        </w:r>
        <w:r>
          <w:instrText xml:space="preserve"> PAGE   \* MERGEFORMAT </w:instrText>
        </w:r>
        <w:r>
          <w:fldChar w:fldCharType="separate"/>
        </w:r>
        <w:r w:rsidR="00EB2E9F">
          <w:rPr>
            <w:noProof/>
          </w:rPr>
          <w:t>1</w:t>
        </w:r>
        <w:r>
          <w:rPr>
            <w:noProof/>
          </w:rPr>
          <w:fldChar w:fldCharType="end"/>
        </w:r>
        <w:r>
          <w:t xml:space="preserve"> | </w:t>
        </w:r>
        <w:r w:rsidRPr="00723744">
          <w:rPr>
            <w:color w:val="7F7F7F"/>
            <w:spacing w:val="60"/>
          </w:rPr>
          <w:t>Page</w:t>
        </w:r>
      </w:p>
    </w:sdtContent>
  </w:sdt>
  <w:p w:rsidR="00C10DE0" w:rsidRDefault="00C10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60" w:rsidRDefault="00B37D60" w:rsidP="00417135">
      <w:pPr>
        <w:spacing w:after="0" w:line="240" w:lineRule="auto"/>
      </w:pPr>
      <w:r>
        <w:separator/>
      </w:r>
    </w:p>
  </w:footnote>
  <w:footnote w:type="continuationSeparator" w:id="0">
    <w:p w:rsidR="00B37D60" w:rsidRDefault="00B37D60" w:rsidP="0041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780"/>
    </w:tblGrid>
    <w:tr w:rsidR="00976429" w:rsidTr="00D12D95">
      <w:trPr>
        <w:trHeight w:val="1066"/>
      </w:trPr>
      <w:tc>
        <w:tcPr>
          <w:tcW w:w="5755" w:type="dxa"/>
        </w:tcPr>
        <w:p w:rsidR="00976429" w:rsidRDefault="00993324" w:rsidP="00976429">
          <w:pPr>
            <w:pStyle w:val="Header"/>
            <w:rPr>
              <w:b/>
              <w:sz w:val="28"/>
              <w:szCs w:val="28"/>
            </w:rPr>
          </w:pPr>
          <w:r w:rsidRPr="00993324">
            <w:rPr>
              <w:b/>
              <w:sz w:val="28"/>
              <w:szCs w:val="28"/>
            </w:rPr>
            <w:t xml:space="preserve">Payment </w:t>
          </w:r>
          <w:r w:rsidR="0092091C">
            <w:rPr>
              <w:b/>
              <w:sz w:val="28"/>
              <w:szCs w:val="28"/>
            </w:rPr>
            <w:t>Reform</w:t>
          </w:r>
          <w:r w:rsidRPr="00993324">
            <w:rPr>
              <w:b/>
              <w:sz w:val="28"/>
              <w:szCs w:val="28"/>
            </w:rPr>
            <w:t xml:space="preserve"> Proposal</w:t>
          </w:r>
        </w:p>
        <w:p w:rsidR="0092091C" w:rsidRPr="00AC56CD" w:rsidRDefault="0092091C" w:rsidP="00976429">
          <w:pPr>
            <w:pStyle w:val="Header"/>
            <w:rPr>
              <w:b/>
              <w:sz w:val="28"/>
              <w:szCs w:val="28"/>
            </w:rPr>
          </w:pPr>
          <w:r>
            <w:rPr>
              <w:b/>
              <w:sz w:val="28"/>
              <w:szCs w:val="28"/>
            </w:rPr>
            <w:t>HF316/SF273</w:t>
          </w:r>
        </w:p>
        <w:p w:rsidR="00976429" w:rsidRPr="00173DB7" w:rsidRDefault="0092091C" w:rsidP="0092091C">
          <w:pPr>
            <w:pStyle w:val="Header"/>
            <w:rPr>
              <w:sz w:val="32"/>
              <w:szCs w:val="32"/>
            </w:rPr>
          </w:pPr>
          <w:r>
            <w:rPr>
              <w:b/>
              <w:sz w:val="28"/>
              <w:szCs w:val="28"/>
            </w:rPr>
            <w:t>January</w:t>
          </w:r>
          <w:r w:rsidR="00976429" w:rsidRPr="00AC56CD">
            <w:rPr>
              <w:b/>
              <w:sz w:val="28"/>
              <w:szCs w:val="28"/>
            </w:rPr>
            <w:t xml:space="preserve"> 201</w:t>
          </w:r>
          <w:r>
            <w:rPr>
              <w:b/>
              <w:sz w:val="28"/>
              <w:szCs w:val="28"/>
            </w:rPr>
            <w:t>5</w:t>
          </w:r>
        </w:p>
      </w:tc>
      <w:tc>
        <w:tcPr>
          <w:tcW w:w="3780" w:type="dxa"/>
        </w:tcPr>
        <w:p w:rsidR="00976429" w:rsidRDefault="00976429" w:rsidP="00976429">
          <w:pPr>
            <w:pStyle w:val="Header"/>
            <w:jc w:val="center"/>
          </w:pPr>
          <w:r>
            <w:rPr>
              <w:noProof/>
            </w:rPr>
            <w:drawing>
              <wp:inline distT="0" distB="0" distL="0" distR="0" wp14:anchorId="32588817" wp14:editId="0969A729">
                <wp:extent cx="1618488" cy="612648"/>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erative small.jpg"/>
                        <pic:cNvPicPr/>
                      </pic:nvPicPr>
                      <pic:blipFill>
                        <a:blip r:embed="rId1">
                          <a:extLst>
                            <a:ext uri="{28A0092B-C50C-407E-A947-70E740481C1C}">
                              <a14:useLocalDpi xmlns:a14="http://schemas.microsoft.com/office/drawing/2010/main" val="0"/>
                            </a:ext>
                          </a:extLst>
                        </a:blip>
                        <a:stretch>
                          <a:fillRect/>
                        </a:stretch>
                      </pic:blipFill>
                      <pic:spPr>
                        <a:xfrm>
                          <a:off x="0" y="0"/>
                          <a:ext cx="1618488" cy="612648"/>
                        </a:xfrm>
                        <a:prstGeom prst="rect">
                          <a:avLst/>
                        </a:prstGeom>
                      </pic:spPr>
                    </pic:pic>
                  </a:graphicData>
                </a:graphic>
              </wp:inline>
            </w:drawing>
          </w:r>
        </w:p>
      </w:tc>
    </w:tr>
  </w:tbl>
  <w:p w:rsidR="00976429" w:rsidRDefault="00976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13369"/>
    <w:multiLevelType w:val="hybridMultilevel"/>
    <w:tmpl w:val="0A2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169C8"/>
    <w:multiLevelType w:val="hybridMultilevel"/>
    <w:tmpl w:val="CF02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D2BB7"/>
    <w:multiLevelType w:val="hybridMultilevel"/>
    <w:tmpl w:val="8C54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9032B"/>
    <w:multiLevelType w:val="hybridMultilevel"/>
    <w:tmpl w:val="9388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93234"/>
    <w:multiLevelType w:val="hybridMultilevel"/>
    <w:tmpl w:val="4554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032FA"/>
    <w:multiLevelType w:val="hybridMultilevel"/>
    <w:tmpl w:val="BAE8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22EA8"/>
    <w:multiLevelType w:val="multilevel"/>
    <w:tmpl w:val="2ECA6B50"/>
    <w:styleLink w:val="Numbered"/>
    <w:lvl w:ilvl="0">
      <w:start w:val="1"/>
      <w:numFmt w:val="decimal"/>
      <w:lvlText w:val="%1."/>
      <w:lvlJc w:val="left"/>
      <w:pPr>
        <w:tabs>
          <w:tab w:val="num" w:pos="393"/>
        </w:tabs>
        <w:ind w:left="393" w:hanging="393"/>
      </w:pPr>
      <w:rPr>
        <w:rFonts w:ascii="Trebuchet MS" w:eastAsia="Trebuchet MS" w:hAnsi="Trebuchet MS" w:cs="Trebuchet MS"/>
        <w:position w:val="0"/>
        <w:sz w:val="24"/>
        <w:szCs w:val="24"/>
      </w:rPr>
    </w:lvl>
    <w:lvl w:ilvl="1">
      <w:start w:val="1"/>
      <w:numFmt w:val="decimal"/>
      <w:lvlText w:val="%2."/>
      <w:lvlJc w:val="left"/>
      <w:pPr>
        <w:tabs>
          <w:tab w:val="num" w:pos="753"/>
        </w:tabs>
        <w:ind w:left="753" w:hanging="393"/>
      </w:pPr>
      <w:rPr>
        <w:rFonts w:ascii="Trebuchet MS" w:eastAsia="Trebuchet MS" w:hAnsi="Trebuchet MS" w:cs="Trebuchet MS"/>
        <w:position w:val="0"/>
        <w:sz w:val="24"/>
        <w:szCs w:val="24"/>
      </w:rPr>
    </w:lvl>
    <w:lvl w:ilvl="2">
      <w:start w:val="1"/>
      <w:numFmt w:val="decimal"/>
      <w:lvlText w:val="%3."/>
      <w:lvlJc w:val="left"/>
      <w:pPr>
        <w:tabs>
          <w:tab w:val="num" w:pos="1113"/>
        </w:tabs>
        <w:ind w:left="1113" w:hanging="393"/>
      </w:pPr>
      <w:rPr>
        <w:rFonts w:ascii="Trebuchet MS" w:eastAsia="Trebuchet MS" w:hAnsi="Trebuchet MS" w:cs="Trebuchet MS"/>
        <w:position w:val="0"/>
        <w:sz w:val="24"/>
        <w:szCs w:val="24"/>
      </w:rPr>
    </w:lvl>
    <w:lvl w:ilvl="3">
      <w:start w:val="1"/>
      <w:numFmt w:val="decimal"/>
      <w:lvlText w:val="%4."/>
      <w:lvlJc w:val="left"/>
      <w:pPr>
        <w:tabs>
          <w:tab w:val="num" w:pos="1473"/>
        </w:tabs>
        <w:ind w:left="1473" w:hanging="393"/>
      </w:pPr>
      <w:rPr>
        <w:rFonts w:ascii="Trebuchet MS" w:eastAsia="Trebuchet MS" w:hAnsi="Trebuchet MS" w:cs="Trebuchet MS"/>
        <w:position w:val="0"/>
        <w:sz w:val="24"/>
        <w:szCs w:val="24"/>
      </w:rPr>
    </w:lvl>
    <w:lvl w:ilvl="4">
      <w:start w:val="1"/>
      <w:numFmt w:val="decimal"/>
      <w:lvlText w:val="%5."/>
      <w:lvlJc w:val="left"/>
      <w:pPr>
        <w:tabs>
          <w:tab w:val="num" w:pos="1833"/>
        </w:tabs>
        <w:ind w:left="1833" w:hanging="393"/>
      </w:pPr>
      <w:rPr>
        <w:rFonts w:ascii="Trebuchet MS" w:eastAsia="Trebuchet MS" w:hAnsi="Trebuchet MS" w:cs="Trebuchet MS"/>
        <w:position w:val="0"/>
        <w:sz w:val="24"/>
        <w:szCs w:val="24"/>
      </w:rPr>
    </w:lvl>
    <w:lvl w:ilvl="5">
      <w:start w:val="1"/>
      <w:numFmt w:val="decimal"/>
      <w:lvlText w:val="%6."/>
      <w:lvlJc w:val="left"/>
      <w:pPr>
        <w:tabs>
          <w:tab w:val="num" w:pos="2193"/>
        </w:tabs>
        <w:ind w:left="2193" w:hanging="393"/>
      </w:pPr>
      <w:rPr>
        <w:rFonts w:ascii="Trebuchet MS" w:eastAsia="Trebuchet MS" w:hAnsi="Trebuchet MS" w:cs="Trebuchet MS"/>
        <w:position w:val="0"/>
        <w:sz w:val="24"/>
        <w:szCs w:val="24"/>
      </w:rPr>
    </w:lvl>
    <w:lvl w:ilvl="6">
      <w:start w:val="1"/>
      <w:numFmt w:val="decimal"/>
      <w:lvlText w:val="%7."/>
      <w:lvlJc w:val="left"/>
      <w:pPr>
        <w:tabs>
          <w:tab w:val="num" w:pos="2553"/>
        </w:tabs>
        <w:ind w:left="2553" w:hanging="393"/>
      </w:pPr>
      <w:rPr>
        <w:rFonts w:ascii="Trebuchet MS" w:eastAsia="Trebuchet MS" w:hAnsi="Trebuchet MS" w:cs="Trebuchet MS"/>
        <w:position w:val="0"/>
        <w:sz w:val="24"/>
        <w:szCs w:val="24"/>
      </w:rPr>
    </w:lvl>
    <w:lvl w:ilvl="7">
      <w:start w:val="1"/>
      <w:numFmt w:val="decimal"/>
      <w:lvlText w:val="%8."/>
      <w:lvlJc w:val="left"/>
      <w:pPr>
        <w:tabs>
          <w:tab w:val="num" w:pos="2913"/>
        </w:tabs>
        <w:ind w:left="2913" w:hanging="393"/>
      </w:pPr>
      <w:rPr>
        <w:rFonts w:ascii="Trebuchet MS" w:eastAsia="Trebuchet MS" w:hAnsi="Trebuchet MS" w:cs="Trebuchet MS"/>
        <w:position w:val="0"/>
        <w:sz w:val="24"/>
        <w:szCs w:val="24"/>
      </w:rPr>
    </w:lvl>
    <w:lvl w:ilvl="8">
      <w:start w:val="1"/>
      <w:numFmt w:val="decimal"/>
      <w:lvlText w:val="%9."/>
      <w:lvlJc w:val="left"/>
      <w:pPr>
        <w:tabs>
          <w:tab w:val="num" w:pos="3273"/>
        </w:tabs>
        <w:ind w:left="3273" w:hanging="393"/>
      </w:pPr>
      <w:rPr>
        <w:rFonts w:ascii="Trebuchet MS" w:eastAsia="Trebuchet MS" w:hAnsi="Trebuchet MS" w:cs="Trebuchet MS"/>
        <w:position w:val="0"/>
        <w:sz w:val="24"/>
        <w:szCs w:val="24"/>
      </w:rPr>
    </w:lvl>
  </w:abstractNum>
  <w:abstractNum w:abstractNumId="7">
    <w:nsid w:val="4D336BDD"/>
    <w:multiLevelType w:val="hybridMultilevel"/>
    <w:tmpl w:val="9F0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21014"/>
    <w:multiLevelType w:val="hybridMultilevel"/>
    <w:tmpl w:val="7054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11C28"/>
    <w:multiLevelType w:val="hybridMultilevel"/>
    <w:tmpl w:val="E5C0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7682F"/>
    <w:multiLevelType w:val="hybridMultilevel"/>
    <w:tmpl w:val="5C549E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24A4CAC"/>
    <w:multiLevelType w:val="hybridMultilevel"/>
    <w:tmpl w:val="51CC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0"/>
  </w:num>
  <w:num w:numId="6">
    <w:abstractNumId w:val="5"/>
  </w:num>
  <w:num w:numId="7">
    <w:abstractNumId w:val="8"/>
  </w:num>
  <w:num w:numId="8">
    <w:abstractNumId w:val="2"/>
  </w:num>
  <w:num w:numId="9">
    <w:abstractNumId w:val="10"/>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DD"/>
    <w:rsid w:val="00024ABD"/>
    <w:rsid w:val="0003007B"/>
    <w:rsid w:val="0003672F"/>
    <w:rsid w:val="00091A4B"/>
    <w:rsid w:val="000A0EC1"/>
    <w:rsid w:val="000A6C2E"/>
    <w:rsid w:val="000B7D53"/>
    <w:rsid w:val="000D2B06"/>
    <w:rsid w:val="001332B1"/>
    <w:rsid w:val="0015471B"/>
    <w:rsid w:val="001B1B61"/>
    <w:rsid w:val="001F11BA"/>
    <w:rsid w:val="002429E4"/>
    <w:rsid w:val="00281A3B"/>
    <w:rsid w:val="00297720"/>
    <w:rsid w:val="002C1F75"/>
    <w:rsid w:val="002C6EB6"/>
    <w:rsid w:val="002D4B11"/>
    <w:rsid w:val="002E3738"/>
    <w:rsid w:val="003A35BE"/>
    <w:rsid w:val="00417135"/>
    <w:rsid w:val="00422623"/>
    <w:rsid w:val="00503A00"/>
    <w:rsid w:val="00532A25"/>
    <w:rsid w:val="00533C43"/>
    <w:rsid w:val="00554CF4"/>
    <w:rsid w:val="0055709C"/>
    <w:rsid w:val="005755F9"/>
    <w:rsid w:val="005C6DBA"/>
    <w:rsid w:val="005D309A"/>
    <w:rsid w:val="005D4F22"/>
    <w:rsid w:val="005F5EF9"/>
    <w:rsid w:val="00694188"/>
    <w:rsid w:val="006B7990"/>
    <w:rsid w:val="006E32C6"/>
    <w:rsid w:val="006E6DA8"/>
    <w:rsid w:val="00723744"/>
    <w:rsid w:val="00736B1C"/>
    <w:rsid w:val="00742BDD"/>
    <w:rsid w:val="00772A48"/>
    <w:rsid w:val="00774655"/>
    <w:rsid w:val="00781045"/>
    <w:rsid w:val="0079767B"/>
    <w:rsid w:val="007A061C"/>
    <w:rsid w:val="00835039"/>
    <w:rsid w:val="008B0BC8"/>
    <w:rsid w:val="008C078C"/>
    <w:rsid w:val="008C6E0F"/>
    <w:rsid w:val="0092091C"/>
    <w:rsid w:val="00946775"/>
    <w:rsid w:val="00976429"/>
    <w:rsid w:val="00993324"/>
    <w:rsid w:val="009B656E"/>
    <w:rsid w:val="009C2C3D"/>
    <w:rsid w:val="00A02F6E"/>
    <w:rsid w:val="00AA182D"/>
    <w:rsid w:val="00B04051"/>
    <w:rsid w:val="00B25451"/>
    <w:rsid w:val="00B37D60"/>
    <w:rsid w:val="00B82167"/>
    <w:rsid w:val="00BE4983"/>
    <w:rsid w:val="00C10DE0"/>
    <w:rsid w:val="00C31469"/>
    <w:rsid w:val="00D96B20"/>
    <w:rsid w:val="00DD31DD"/>
    <w:rsid w:val="00DD350A"/>
    <w:rsid w:val="00E44D5B"/>
    <w:rsid w:val="00E45A16"/>
    <w:rsid w:val="00E77076"/>
    <w:rsid w:val="00E83BE8"/>
    <w:rsid w:val="00E85CC4"/>
    <w:rsid w:val="00E867C6"/>
    <w:rsid w:val="00E93541"/>
    <w:rsid w:val="00EB2E9F"/>
    <w:rsid w:val="00F2757A"/>
    <w:rsid w:val="00F35824"/>
    <w:rsid w:val="00F944F0"/>
    <w:rsid w:val="00FA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BFB53B4-5D5E-467E-9076-A03EC0A8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167"/>
    <w:pPr>
      <w:ind w:left="720"/>
      <w:contextualSpacing/>
    </w:pPr>
  </w:style>
  <w:style w:type="paragraph" w:styleId="Header">
    <w:name w:val="header"/>
    <w:basedOn w:val="Normal"/>
    <w:link w:val="HeaderChar"/>
    <w:uiPriority w:val="99"/>
    <w:unhideWhenUsed/>
    <w:rsid w:val="0041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35"/>
  </w:style>
  <w:style w:type="paragraph" w:styleId="Footer">
    <w:name w:val="footer"/>
    <w:basedOn w:val="Normal"/>
    <w:link w:val="FooterChar"/>
    <w:uiPriority w:val="99"/>
    <w:unhideWhenUsed/>
    <w:rsid w:val="0041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35"/>
  </w:style>
  <w:style w:type="table" w:styleId="TableGrid">
    <w:name w:val="Table Grid"/>
    <w:basedOn w:val="TableNormal"/>
    <w:uiPriority w:val="39"/>
    <w:rsid w:val="0097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5709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A75A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Body">
    <w:name w:val="Body"/>
    <w:rsid w:val="0092091C"/>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Numbered">
    <w:name w:val="Numbered"/>
    <w:rsid w:val="0092091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11714">
      <w:bodyDiv w:val="1"/>
      <w:marLeft w:val="0"/>
      <w:marRight w:val="0"/>
      <w:marTop w:val="0"/>
      <w:marBottom w:val="0"/>
      <w:divBdr>
        <w:top w:val="none" w:sz="0" w:space="0" w:color="auto"/>
        <w:left w:val="none" w:sz="0" w:space="0" w:color="auto"/>
        <w:bottom w:val="none" w:sz="0" w:space="0" w:color="auto"/>
        <w:right w:val="none" w:sz="0" w:space="0" w:color="auto"/>
      </w:divBdr>
    </w:div>
    <w:div w:id="1079207757">
      <w:bodyDiv w:val="1"/>
      <w:marLeft w:val="0"/>
      <w:marRight w:val="0"/>
      <w:marTop w:val="0"/>
      <w:marBottom w:val="0"/>
      <w:divBdr>
        <w:top w:val="none" w:sz="0" w:space="0" w:color="auto"/>
        <w:left w:val="none" w:sz="0" w:space="0" w:color="auto"/>
        <w:bottom w:val="none" w:sz="0" w:space="0" w:color="auto"/>
        <w:right w:val="none" w:sz="0" w:space="0" w:color="auto"/>
      </w:divBdr>
    </w:div>
    <w:div w:id="1094209993">
      <w:bodyDiv w:val="1"/>
      <w:marLeft w:val="0"/>
      <w:marRight w:val="0"/>
      <w:marTop w:val="0"/>
      <w:marBottom w:val="0"/>
      <w:divBdr>
        <w:top w:val="none" w:sz="0" w:space="0" w:color="auto"/>
        <w:left w:val="none" w:sz="0" w:space="0" w:color="auto"/>
        <w:bottom w:val="none" w:sz="0" w:space="0" w:color="auto"/>
        <w:right w:val="none" w:sz="0" w:space="0" w:color="auto"/>
      </w:divBdr>
    </w:div>
    <w:div w:id="1267805652">
      <w:bodyDiv w:val="1"/>
      <w:marLeft w:val="0"/>
      <w:marRight w:val="0"/>
      <w:marTop w:val="0"/>
      <w:marBottom w:val="0"/>
      <w:divBdr>
        <w:top w:val="none" w:sz="0" w:space="0" w:color="auto"/>
        <w:left w:val="none" w:sz="0" w:space="0" w:color="auto"/>
        <w:bottom w:val="none" w:sz="0" w:space="0" w:color="auto"/>
        <w:right w:val="none" w:sz="0" w:space="0" w:color="auto"/>
      </w:divBdr>
    </w:div>
    <w:div w:id="1750880787">
      <w:bodyDiv w:val="1"/>
      <w:marLeft w:val="0"/>
      <w:marRight w:val="0"/>
      <w:marTop w:val="0"/>
      <w:marBottom w:val="0"/>
      <w:divBdr>
        <w:top w:val="none" w:sz="0" w:space="0" w:color="auto"/>
        <w:left w:val="none" w:sz="0" w:space="0" w:color="auto"/>
        <w:bottom w:val="none" w:sz="0" w:space="0" w:color="auto"/>
        <w:right w:val="none" w:sz="0" w:space="0" w:color="auto"/>
      </w:divBdr>
    </w:div>
    <w:div w:id="20838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Bostic</dc:creator>
  <cp:keywords/>
  <dc:description/>
  <cp:lastModifiedBy>Darrell Shreve</cp:lastModifiedBy>
  <cp:revision>2</cp:revision>
  <dcterms:created xsi:type="dcterms:W3CDTF">2015-02-04T16:26:00Z</dcterms:created>
  <dcterms:modified xsi:type="dcterms:W3CDTF">2015-02-04T16:26:00Z</dcterms:modified>
</cp:coreProperties>
</file>