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CAF7B" w14:textId="76A77EB3" w:rsidR="00375A3C" w:rsidRDefault="00375A3C" w:rsidP="006E64AC">
      <w:pPr>
        <w:rPr>
          <w:rFonts w:asciiTheme="minorHAnsi" w:hAnsiTheme="minorHAnsi" w:cstheme="minorHAnsi"/>
        </w:rPr>
      </w:pPr>
      <w:bookmarkStart w:id="0" w:name="_GoBack"/>
      <w:bookmarkEnd w:id="0"/>
      <w:r w:rsidRPr="00B06908">
        <w:rPr>
          <w:rFonts w:asciiTheme="minorHAnsi" w:hAnsiTheme="minorHAnsi" w:cstheme="minorHAnsi"/>
          <w:noProof/>
          <w:color w:val="FF0000"/>
        </w:rPr>
        <w:drawing>
          <wp:inline distT="0" distB="0" distL="0" distR="0" wp14:anchorId="12B497CF" wp14:editId="74780C51">
            <wp:extent cx="5915025" cy="828675"/>
            <wp:effectExtent l="0" t="0" r="9525" b="28575"/>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5D99149" w14:textId="77777777" w:rsidR="00375A3C" w:rsidRDefault="00375A3C" w:rsidP="006E64AC">
      <w:pPr>
        <w:rPr>
          <w:rFonts w:asciiTheme="minorHAnsi" w:hAnsiTheme="minorHAnsi" w:cstheme="minorHAnsi"/>
        </w:rPr>
      </w:pPr>
    </w:p>
    <w:p w14:paraId="091198C5" w14:textId="40690510" w:rsidR="00B26477" w:rsidRDefault="00F70BB8" w:rsidP="006E64AC">
      <w:pPr>
        <w:rPr>
          <w:rFonts w:asciiTheme="minorHAnsi" w:hAnsiTheme="minorHAnsi" w:cstheme="minorHAnsi"/>
        </w:rPr>
      </w:pPr>
      <w:r>
        <w:rPr>
          <w:rFonts w:asciiTheme="minorHAnsi" w:hAnsiTheme="minorHAnsi" w:cstheme="minorHAnsi"/>
        </w:rPr>
        <w:t xml:space="preserve">The </w:t>
      </w:r>
      <w:r w:rsidR="002C7E1D">
        <w:rPr>
          <w:rFonts w:asciiTheme="minorHAnsi" w:hAnsiTheme="minorHAnsi" w:cstheme="minorHAnsi"/>
        </w:rPr>
        <w:t xml:space="preserve">Covid-19 </w:t>
      </w:r>
      <w:r>
        <w:rPr>
          <w:rFonts w:asciiTheme="minorHAnsi" w:hAnsiTheme="minorHAnsi" w:cstheme="minorHAnsi"/>
        </w:rPr>
        <w:t>emergency</w:t>
      </w:r>
      <w:r w:rsidR="0013738D">
        <w:rPr>
          <w:rFonts w:asciiTheme="minorHAnsi" w:hAnsiTheme="minorHAnsi" w:cstheme="minorHAnsi"/>
        </w:rPr>
        <w:t xml:space="preserve"> funding</w:t>
      </w:r>
      <w:r>
        <w:rPr>
          <w:rFonts w:asciiTheme="minorHAnsi" w:hAnsiTheme="minorHAnsi" w:cstheme="minorHAnsi"/>
        </w:rPr>
        <w:t xml:space="preserve"> response by the state and federal government</w:t>
      </w:r>
      <w:r w:rsidR="00733433">
        <w:rPr>
          <w:rFonts w:asciiTheme="minorHAnsi" w:hAnsiTheme="minorHAnsi" w:cstheme="minorHAnsi"/>
        </w:rPr>
        <w:t>s has raised many questions</w:t>
      </w:r>
      <w:r w:rsidR="00ED59EC">
        <w:rPr>
          <w:rFonts w:asciiTheme="minorHAnsi" w:hAnsiTheme="minorHAnsi" w:cstheme="minorHAnsi"/>
        </w:rPr>
        <w:t xml:space="preserve"> for Minnesota’s nursing facilities.</w:t>
      </w:r>
    </w:p>
    <w:p w14:paraId="30D76CC6" w14:textId="203411A0" w:rsidR="00867083" w:rsidRDefault="00867083" w:rsidP="00867083">
      <w:pPr>
        <w:pStyle w:val="ListParagraph"/>
        <w:numPr>
          <w:ilvl w:val="0"/>
          <w:numId w:val="3"/>
        </w:numPr>
        <w:rPr>
          <w:rFonts w:asciiTheme="minorHAnsi" w:hAnsiTheme="minorHAnsi" w:cstheme="minorHAnsi"/>
        </w:rPr>
      </w:pPr>
      <w:r>
        <w:rPr>
          <w:rFonts w:asciiTheme="minorHAnsi" w:hAnsiTheme="minorHAnsi" w:cstheme="minorHAnsi"/>
        </w:rPr>
        <w:t>Wh</w:t>
      </w:r>
      <w:r w:rsidR="002C7E1D">
        <w:rPr>
          <w:rFonts w:asciiTheme="minorHAnsi" w:hAnsiTheme="minorHAnsi" w:cstheme="minorHAnsi"/>
        </w:rPr>
        <w:t>at funding program is responsible for covering which costs</w:t>
      </w:r>
      <w:r w:rsidR="00503270">
        <w:rPr>
          <w:rFonts w:asciiTheme="minorHAnsi" w:hAnsiTheme="minorHAnsi" w:cstheme="minorHAnsi"/>
        </w:rPr>
        <w:t>?</w:t>
      </w:r>
    </w:p>
    <w:p w14:paraId="0894F461" w14:textId="11E6F469" w:rsidR="00F861AE" w:rsidRDefault="00F861AE" w:rsidP="00867083">
      <w:pPr>
        <w:pStyle w:val="ListParagraph"/>
        <w:numPr>
          <w:ilvl w:val="0"/>
          <w:numId w:val="3"/>
        </w:numPr>
        <w:rPr>
          <w:rFonts w:asciiTheme="minorHAnsi" w:hAnsiTheme="minorHAnsi" w:cstheme="minorHAnsi"/>
        </w:rPr>
      </w:pPr>
      <w:r>
        <w:rPr>
          <w:rFonts w:asciiTheme="minorHAnsi" w:hAnsiTheme="minorHAnsi" w:cstheme="minorHAnsi"/>
        </w:rPr>
        <w:t>What “order” should the funding be used?</w:t>
      </w:r>
    </w:p>
    <w:p w14:paraId="50FBEBC8" w14:textId="13EE9C96" w:rsidR="00503270" w:rsidRDefault="00B3757D" w:rsidP="00867083">
      <w:pPr>
        <w:pStyle w:val="ListParagraph"/>
        <w:numPr>
          <w:ilvl w:val="0"/>
          <w:numId w:val="3"/>
        </w:numPr>
        <w:rPr>
          <w:rFonts w:asciiTheme="minorHAnsi" w:hAnsiTheme="minorHAnsi" w:cstheme="minorHAnsi"/>
        </w:rPr>
      </w:pPr>
      <w:r>
        <w:rPr>
          <w:rFonts w:asciiTheme="minorHAnsi" w:hAnsiTheme="minorHAnsi" w:cstheme="minorHAnsi"/>
        </w:rPr>
        <w:t>Which</w:t>
      </w:r>
      <w:r w:rsidR="00503270">
        <w:rPr>
          <w:rFonts w:asciiTheme="minorHAnsi" w:hAnsiTheme="minorHAnsi" w:cstheme="minorHAnsi"/>
        </w:rPr>
        <w:t xml:space="preserve"> instructions or guidelines </w:t>
      </w:r>
      <w:r w:rsidR="00285905">
        <w:rPr>
          <w:rFonts w:asciiTheme="minorHAnsi" w:hAnsiTheme="minorHAnsi" w:cstheme="minorHAnsi"/>
        </w:rPr>
        <w:t>supersede</w:t>
      </w:r>
      <w:r w:rsidR="00E57CB3">
        <w:rPr>
          <w:rFonts w:asciiTheme="minorHAnsi" w:hAnsiTheme="minorHAnsi" w:cstheme="minorHAnsi"/>
        </w:rPr>
        <w:t xml:space="preserve"> other instructions?</w:t>
      </w:r>
    </w:p>
    <w:p w14:paraId="21DB3127" w14:textId="4855485B" w:rsidR="001503F7" w:rsidRDefault="00CE1BD2" w:rsidP="00867083">
      <w:pPr>
        <w:pStyle w:val="ListParagraph"/>
        <w:numPr>
          <w:ilvl w:val="0"/>
          <w:numId w:val="3"/>
        </w:numPr>
        <w:rPr>
          <w:rFonts w:asciiTheme="minorHAnsi" w:hAnsiTheme="minorHAnsi" w:cstheme="minorHAnsi"/>
        </w:rPr>
      </w:pPr>
      <w:r>
        <w:rPr>
          <w:rFonts w:asciiTheme="minorHAnsi" w:hAnsiTheme="minorHAnsi" w:cstheme="minorHAnsi"/>
        </w:rPr>
        <w:t xml:space="preserve">How </w:t>
      </w:r>
      <w:r w:rsidR="0035111D">
        <w:rPr>
          <w:rFonts w:asciiTheme="minorHAnsi" w:hAnsiTheme="minorHAnsi" w:cstheme="minorHAnsi"/>
        </w:rPr>
        <w:t>i</w:t>
      </w:r>
      <w:r w:rsidR="00800A28">
        <w:rPr>
          <w:rFonts w:asciiTheme="minorHAnsi" w:hAnsiTheme="minorHAnsi" w:cstheme="minorHAnsi"/>
        </w:rPr>
        <w:t xml:space="preserve">s an expense determined allowable </w:t>
      </w:r>
      <w:r>
        <w:rPr>
          <w:rFonts w:asciiTheme="minorHAnsi" w:hAnsiTheme="minorHAnsi" w:cstheme="minorHAnsi"/>
        </w:rPr>
        <w:t xml:space="preserve">under </w:t>
      </w:r>
      <w:r w:rsidR="00B3757D">
        <w:rPr>
          <w:rFonts w:asciiTheme="minorHAnsi" w:hAnsiTheme="minorHAnsi" w:cstheme="minorHAnsi"/>
        </w:rPr>
        <w:t>each relief</w:t>
      </w:r>
      <w:r>
        <w:rPr>
          <w:rFonts w:asciiTheme="minorHAnsi" w:hAnsiTheme="minorHAnsi" w:cstheme="minorHAnsi"/>
        </w:rPr>
        <w:t xml:space="preserve"> program</w:t>
      </w:r>
      <w:r w:rsidR="00F861AE">
        <w:rPr>
          <w:rFonts w:asciiTheme="minorHAnsi" w:hAnsiTheme="minorHAnsi" w:cstheme="minorHAnsi"/>
        </w:rPr>
        <w:t>—which of the following rules/policies take precedence?</w:t>
      </w:r>
      <w:r w:rsidR="00B75BFA">
        <w:rPr>
          <w:rFonts w:asciiTheme="minorHAnsi" w:hAnsiTheme="minorHAnsi" w:cstheme="minorHAnsi"/>
        </w:rPr>
        <w:t>?</w:t>
      </w:r>
    </w:p>
    <w:p w14:paraId="0B7D333E" w14:textId="45E8B1BF" w:rsidR="00E57CB3" w:rsidRDefault="001503F7" w:rsidP="001503F7">
      <w:pPr>
        <w:pStyle w:val="ListParagraph"/>
        <w:numPr>
          <w:ilvl w:val="1"/>
          <w:numId w:val="3"/>
        </w:numPr>
        <w:rPr>
          <w:rFonts w:asciiTheme="minorHAnsi" w:hAnsiTheme="minorHAnsi" w:cstheme="minorHAnsi"/>
        </w:rPr>
      </w:pPr>
      <w:r>
        <w:rPr>
          <w:rFonts w:asciiTheme="minorHAnsi" w:hAnsiTheme="minorHAnsi" w:cstheme="minorHAnsi"/>
        </w:rPr>
        <w:t>T</w:t>
      </w:r>
      <w:r w:rsidR="004F6E17">
        <w:rPr>
          <w:rFonts w:asciiTheme="minorHAnsi" w:hAnsiTheme="minorHAnsi" w:cstheme="minorHAnsi"/>
        </w:rPr>
        <w:t xml:space="preserve">he rules in effect on </w:t>
      </w:r>
      <w:r w:rsidR="000F73E5">
        <w:rPr>
          <w:rFonts w:asciiTheme="minorHAnsi" w:hAnsiTheme="minorHAnsi" w:cstheme="minorHAnsi"/>
        </w:rPr>
        <w:t>the</w:t>
      </w:r>
      <w:r w:rsidR="004F6E17">
        <w:rPr>
          <w:rFonts w:asciiTheme="minorHAnsi" w:hAnsiTheme="minorHAnsi" w:cstheme="minorHAnsi"/>
        </w:rPr>
        <w:t xml:space="preserve"> day</w:t>
      </w:r>
      <w:r w:rsidR="000F73E5">
        <w:rPr>
          <w:rFonts w:asciiTheme="minorHAnsi" w:hAnsiTheme="minorHAnsi" w:cstheme="minorHAnsi"/>
        </w:rPr>
        <w:t xml:space="preserve"> </w:t>
      </w:r>
      <w:r w:rsidR="00CE1BD2">
        <w:rPr>
          <w:rFonts w:asciiTheme="minorHAnsi" w:hAnsiTheme="minorHAnsi" w:cstheme="minorHAnsi"/>
        </w:rPr>
        <w:t>the expense occurred</w:t>
      </w:r>
      <w:r>
        <w:rPr>
          <w:rFonts w:asciiTheme="minorHAnsi" w:hAnsiTheme="minorHAnsi" w:cstheme="minorHAnsi"/>
        </w:rPr>
        <w:t>.</w:t>
      </w:r>
    </w:p>
    <w:p w14:paraId="7F4603CB" w14:textId="41E1146A" w:rsidR="001503F7" w:rsidRDefault="001503F7" w:rsidP="001503F7">
      <w:pPr>
        <w:pStyle w:val="ListParagraph"/>
        <w:numPr>
          <w:ilvl w:val="1"/>
          <w:numId w:val="3"/>
        </w:numPr>
        <w:rPr>
          <w:rFonts w:asciiTheme="minorHAnsi" w:hAnsiTheme="minorHAnsi" w:cstheme="minorHAnsi"/>
        </w:rPr>
      </w:pPr>
      <w:r>
        <w:rPr>
          <w:rFonts w:asciiTheme="minorHAnsi" w:hAnsiTheme="minorHAnsi" w:cstheme="minorHAnsi"/>
        </w:rPr>
        <w:t xml:space="preserve">The rules created </w:t>
      </w:r>
      <w:r w:rsidR="0083514D">
        <w:rPr>
          <w:rFonts w:asciiTheme="minorHAnsi" w:hAnsiTheme="minorHAnsi" w:cstheme="minorHAnsi"/>
        </w:rPr>
        <w:t>during</w:t>
      </w:r>
      <w:r>
        <w:rPr>
          <w:rFonts w:asciiTheme="minorHAnsi" w:hAnsiTheme="minorHAnsi" w:cstheme="minorHAnsi"/>
        </w:rPr>
        <w:t xml:space="preserve"> the </w:t>
      </w:r>
      <w:r w:rsidR="0083514D">
        <w:rPr>
          <w:rFonts w:asciiTheme="minorHAnsi" w:hAnsiTheme="minorHAnsi" w:cstheme="minorHAnsi"/>
        </w:rPr>
        <w:t>pandemic</w:t>
      </w:r>
      <w:r w:rsidR="00B75BFA">
        <w:rPr>
          <w:rFonts w:asciiTheme="minorHAnsi" w:hAnsiTheme="minorHAnsi" w:cstheme="minorHAnsi"/>
        </w:rPr>
        <w:t>.</w:t>
      </w:r>
    </w:p>
    <w:p w14:paraId="06765EC8" w14:textId="7FA03397" w:rsidR="00B75BFA" w:rsidRDefault="00CE1BD2" w:rsidP="001503F7">
      <w:pPr>
        <w:pStyle w:val="ListParagraph"/>
        <w:numPr>
          <w:ilvl w:val="1"/>
          <w:numId w:val="3"/>
        </w:numPr>
        <w:rPr>
          <w:rFonts w:asciiTheme="minorHAnsi" w:hAnsiTheme="minorHAnsi" w:cstheme="minorHAnsi"/>
        </w:rPr>
      </w:pPr>
      <w:r>
        <w:rPr>
          <w:rFonts w:asciiTheme="minorHAnsi" w:hAnsiTheme="minorHAnsi" w:cstheme="minorHAnsi"/>
        </w:rPr>
        <w:t>Pre-existing s</w:t>
      </w:r>
      <w:r w:rsidR="00B75BFA">
        <w:rPr>
          <w:rFonts w:asciiTheme="minorHAnsi" w:hAnsiTheme="minorHAnsi" w:cstheme="minorHAnsi"/>
        </w:rPr>
        <w:t>tate and</w:t>
      </w:r>
      <w:r w:rsidR="000F73E5">
        <w:rPr>
          <w:rFonts w:asciiTheme="minorHAnsi" w:hAnsiTheme="minorHAnsi" w:cstheme="minorHAnsi"/>
        </w:rPr>
        <w:t>/or</w:t>
      </w:r>
      <w:r w:rsidR="00B75BFA">
        <w:rPr>
          <w:rFonts w:asciiTheme="minorHAnsi" w:hAnsiTheme="minorHAnsi" w:cstheme="minorHAnsi"/>
        </w:rPr>
        <w:t xml:space="preserve"> </w:t>
      </w:r>
      <w:r>
        <w:rPr>
          <w:rFonts w:asciiTheme="minorHAnsi" w:hAnsiTheme="minorHAnsi" w:cstheme="minorHAnsi"/>
        </w:rPr>
        <w:t>f</w:t>
      </w:r>
      <w:r w:rsidR="00B75BFA">
        <w:rPr>
          <w:rFonts w:asciiTheme="minorHAnsi" w:hAnsiTheme="minorHAnsi" w:cstheme="minorHAnsi"/>
        </w:rPr>
        <w:t xml:space="preserve">ederal </w:t>
      </w:r>
      <w:r w:rsidR="0083514D">
        <w:rPr>
          <w:rFonts w:asciiTheme="minorHAnsi" w:hAnsiTheme="minorHAnsi" w:cstheme="minorHAnsi"/>
        </w:rPr>
        <w:t>policies</w:t>
      </w:r>
      <w:r w:rsidR="00B75BFA">
        <w:rPr>
          <w:rFonts w:asciiTheme="minorHAnsi" w:hAnsiTheme="minorHAnsi" w:cstheme="minorHAnsi"/>
        </w:rPr>
        <w:t>.</w:t>
      </w:r>
    </w:p>
    <w:p w14:paraId="3604748D" w14:textId="3217EB74" w:rsidR="00B75BFA" w:rsidRDefault="00285905" w:rsidP="001503F7">
      <w:pPr>
        <w:pStyle w:val="ListParagraph"/>
        <w:numPr>
          <w:ilvl w:val="1"/>
          <w:numId w:val="3"/>
        </w:numPr>
        <w:rPr>
          <w:rFonts w:asciiTheme="minorHAnsi" w:hAnsiTheme="minorHAnsi" w:cstheme="minorHAnsi"/>
        </w:rPr>
      </w:pPr>
      <w:r>
        <w:rPr>
          <w:rFonts w:asciiTheme="minorHAnsi" w:hAnsiTheme="minorHAnsi" w:cstheme="minorHAnsi"/>
        </w:rPr>
        <w:t xml:space="preserve">Or some set of laws or rules that were unknown </w:t>
      </w:r>
      <w:r w:rsidR="00CE1BD2">
        <w:rPr>
          <w:rFonts w:asciiTheme="minorHAnsi" w:hAnsiTheme="minorHAnsi" w:cstheme="minorHAnsi"/>
        </w:rPr>
        <w:t>at the time the expense occurred</w:t>
      </w:r>
      <w:r w:rsidR="0083514D">
        <w:rPr>
          <w:rFonts w:asciiTheme="minorHAnsi" w:hAnsiTheme="minorHAnsi" w:cstheme="minorHAnsi"/>
        </w:rPr>
        <w:t>.</w:t>
      </w:r>
    </w:p>
    <w:p w14:paraId="31B35555" w14:textId="2E4DEE9B" w:rsidR="005C6946" w:rsidRDefault="00CE1BD2" w:rsidP="00E335C8">
      <w:pPr>
        <w:pStyle w:val="ListParagraph"/>
        <w:numPr>
          <w:ilvl w:val="0"/>
          <w:numId w:val="3"/>
        </w:numPr>
        <w:rPr>
          <w:rFonts w:asciiTheme="minorHAnsi" w:hAnsiTheme="minorHAnsi" w:cstheme="minorHAnsi"/>
        </w:rPr>
      </w:pPr>
      <w:r>
        <w:rPr>
          <w:rFonts w:asciiTheme="minorHAnsi" w:hAnsiTheme="minorHAnsi" w:cstheme="minorHAnsi"/>
        </w:rPr>
        <w:t>Funding received</w:t>
      </w:r>
      <w:r w:rsidR="00DA5BB1">
        <w:rPr>
          <w:rFonts w:asciiTheme="minorHAnsi" w:hAnsiTheme="minorHAnsi" w:cstheme="minorHAnsi"/>
        </w:rPr>
        <w:t xml:space="preserve">, </w:t>
      </w:r>
      <w:r w:rsidR="00145339">
        <w:rPr>
          <w:rFonts w:asciiTheme="minorHAnsi" w:hAnsiTheme="minorHAnsi" w:cstheme="minorHAnsi"/>
        </w:rPr>
        <w:t xml:space="preserve">expenses </w:t>
      </w:r>
      <w:r w:rsidR="00F52A73">
        <w:rPr>
          <w:rFonts w:asciiTheme="minorHAnsi" w:hAnsiTheme="minorHAnsi" w:cstheme="minorHAnsi"/>
        </w:rPr>
        <w:t>incurred,</w:t>
      </w:r>
      <w:r w:rsidR="005C6946">
        <w:rPr>
          <w:rFonts w:asciiTheme="minorHAnsi" w:hAnsiTheme="minorHAnsi" w:cstheme="minorHAnsi"/>
        </w:rPr>
        <w:t xml:space="preserve"> and revenue lost, do not align with:</w:t>
      </w:r>
    </w:p>
    <w:p w14:paraId="48FE2929" w14:textId="4FE71785" w:rsidR="00DA5BB1" w:rsidRDefault="00DA5BB1" w:rsidP="005C6946">
      <w:pPr>
        <w:pStyle w:val="ListParagraph"/>
        <w:numPr>
          <w:ilvl w:val="1"/>
          <w:numId w:val="3"/>
        </w:numPr>
        <w:rPr>
          <w:rFonts w:asciiTheme="minorHAnsi" w:hAnsiTheme="minorHAnsi" w:cstheme="minorHAnsi"/>
        </w:rPr>
      </w:pPr>
      <w:r>
        <w:rPr>
          <w:rFonts w:asciiTheme="minorHAnsi" w:hAnsiTheme="minorHAnsi" w:cstheme="minorHAnsi"/>
        </w:rPr>
        <w:t xml:space="preserve">The </w:t>
      </w:r>
      <w:r w:rsidR="00E335C8">
        <w:rPr>
          <w:rFonts w:asciiTheme="minorHAnsi" w:hAnsiTheme="minorHAnsi" w:cstheme="minorHAnsi"/>
        </w:rPr>
        <w:t>use of</w:t>
      </w:r>
      <w:r w:rsidR="00D843C5">
        <w:rPr>
          <w:rFonts w:asciiTheme="minorHAnsi" w:hAnsiTheme="minorHAnsi" w:cstheme="minorHAnsi"/>
        </w:rPr>
        <w:t xml:space="preserve"> </w:t>
      </w:r>
      <w:r w:rsidR="004E3197">
        <w:rPr>
          <w:rFonts w:asciiTheme="minorHAnsi" w:hAnsiTheme="minorHAnsi" w:cstheme="minorHAnsi"/>
        </w:rPr>
        <w:t>October 1</w:t>
      </w:r>
      <w:r w:rsidR="00E335C8">
        <w:rPr>
          <w:rFonts w:asciiTheme="minorHAnsi" w:hAnsiTheme="minorHAnsi" w:cstheme="minorHAnsi"/>
        </w:rPr>
        <w:t xml:space="preserve"> </w:t>
      </w:r>
      <w:r w:rsidR="004E3197">
        <w:rPr>
          <w:rFonts w:asciiTheme="minorHAnsi" w:hAnsiTheme="minorHAnsi" w:cstheme="minorHAnsi"/>
        </w:rPr>
        <w:t>for the</w:t>
      </w:r>
      <w:r w:rsidR="00172EC9">
        <w:rPr>
          <w:rFonts w:asciiTheme="minorHAnsi" w:hAnsiTheme="minorHAnsi" w:cstheme="minorHAnsi"/>
        </w:rPr>
        <w:t xml:space="preserve"> beginning and </w:t>
      </w:r>
      <w:r w:rsidR="004E3197">
        <w:rPr>
          <w:rFonts w:asciiTheme="minorHAnsi" w:hAnsiTheme="minorHAnsi" w:cstheme="minorHAnsi"/>
        </w:rPr>
        <w:t>September 30 for t</w:t>
      </w:r>
      <w:r w:rsidR="00D13880">
        <w:rPr>
          <w:rFonts w:asciiTheme="minorHAnsi" w:hAnsiTheme="minorHAnsi" w:cstheme="minorHAnsi"/>
        </w:rPr>
        <w:t>he</w:t>
      </w:r>
      <w:r w:rsidR="00E335C8">
        <w:rPr>
          <w:rFonts w:asciiTheme="minorHAnsi" w:hAnsiTheme="minorHAnsi" w:cstheme="minorHAnsi"/>
        </w:rPr>
        <w:t xml:space="preserve"> ending </w:t>
      </w:r>
      <w:r w:rsidR="00D13880">
        <w:rPr>
          <w:rFonts w:asciiTheme="minorHAnsi" w:hAnsiTheme="minorHAnsi" w:cstheme="minorHAnsi"/>
        </w:rPr>
        <w:t>of the 12-month Medicaid cost report</w:t>
      </w:r>
      <w:r w:rsidR="00522A6E">
        <w:rPr>
          <w:rFonts w:asciiTheme="minorHAnsi" w:hAnsiTheme="minorHAnsi" w:cstheme="minorHAnsi"/>
        </w:rPr>
        <w:t xml:space="preserve"> period</w:t>
      </w:r>
      <w:r>
        <w:rPr>
          <w:rFonts w:asciiTheme="minorHAnsi" w:hAnsiTheme="minorHAnsi" w:cstheme="minorHAnsi"/>
        </w:rPr>
        <w:t>.</w:t>
      </w:r>
    </w:p>
    <w:p w14:paraId="2EFD4584" w14:textId="4E22EBB6" w:rsidR="00E335C8" w:rsidRDefault="00DA5BB1" w:rsidP="005C6946">
      <w:pPr>
        <w:pStyle w:val="ListParagraph"/>
        <w:numPr>
          <w:ilvl w:val="1"/>
          <w:numId w:val="3"/>
        </w:numPr>
        <w:rPr>
          <w:rFonts w:asciiTheme="minorHAnsi" w:hAnsiTheme="minorHAnsi" w:cstheme="minorHAnsi"/>
        </w:rPr>
      </w:pPr>
      <w:r>
        <w:rPr>
          <w:rFonts w:asciiTheme="minorHAnsi" w:hAnsiTheme="minorHAnsi" w:cstheme="minorHAnsi"/>
        </w:rPr>
        <w:t>T</w:t>
      </w:r>
      <w:r w:rsidR="007E50FE">
        <w:rPr>
          <w:rFonts w:asciiTheme="minorHAnsi" w:hAnsiTheme="minorHAnsi" w:cstheme="minorHAnsi"/>
        </w:rPr>
        <w:t xml:space="preserve">he pandemic’s </w:t>
      </w:r>
      <w:r w:rsidR="00CE1BD2">
        <w:rPr>
          <w:rFonts w:asciiTheme="minorHAnsi" w:hAnsiTheme="minorHAnsi" w:cstheme="minorHAnsi"/>
        </w:rPr>
        <w:t xml:space="preserve">uncontrollable </w:t>
      </w:r>
      <w:r>
        <w:rPr>
          <w:rFonts w:asciiTheme="minorHAnsi" w:hAnsiTheme="minorHAnsi" w:cstheme="minorHAnsi"/>
        </w:rPr>
        <w:t>arbitrary start</w:t>
      </w:r>
      <w:r w:rsidR="00145339">
        <w:rPr>
          <w:rFonts w:asciiTheme="minorHAnsi" w:hAnsiTheme="minorHAnsi" w:cstheme="minorHAnsi"/>
        </w:rPr>
        <w:t xml:space="preserve"> and end date</w:t>
      </w:r>
      <w:r>
        <w:rPr>
          <w:rFonts w:asciiTheme="minorHAnsi" w:hAnsiTheme="minorHAnsi" w:cstheme="minorHAnsi"/>
        </w:rPr>
        <w:t>s</w:t>
      </w:r>
      <w:r w:rsidR="00522A6E">
        <w:rPr>
          <w:rFonts w:asciiTheme="minorHAnsi" w:hAnsiTheme="minorHAnsi" w:cstheme="minorHAnsi"/>
        </w:rPr>
        <w:t xml:space="preserve">—note </w:t>
      </w:r>
      <w:r w:rsidR="009606C5">
        <w:rPr>
          <w:rFonts w:asciiTheme="minorHAnsi" w:hAnsiTheme="minorHAnsi" w:cstheme="minorHAnsi"/>
        </w:rPr>
        <w:t>the end date has not yet happened</w:t>
      </w:r>
      <w:r w:rsidR="00145339">
        <w:rPr>
          <w:rFonts w:asciiTheme="minorHAnsi" w:hAnsiTheme="minorHAnsi" w:cstheme="minorHAnsi"/>
        </w:rPr>
        <w:t>.</w:t>
      </w:r>
      <w:r w:rsidR="00E335C8">
        <w:rPr>
          <w:rFonts w:asciiTheme="minorHAnsi" w:hAnsiTheme="minorHAnsi" w:cstheme="minorHAnsi"/>
        </w:rPr>
        <w:t xml:space="preserve"> </w:t>
      </w:r>
    </w:p>
    <w:p w14:paraId="22913C95" w14:textId="621A15D6" w:rsidR="00CE1BD2" w:rsidRDefault="00CE1BD2" w:rsidP="005C6946">
      <w:pPr>
        <w:pStyle w:val="ListParagraph"/>
        <w:numPr>
          <w:ilvl w:val="1"/>
          <w:numId w:val="3"/>
        </w:numPr>
        <w:rPr>
          <w:rFonts w:asciiTheme="minorHAnsi" w:hAnsiTheme="minorHAnsi" w:cstheme="minorHAnsi"/>
        </w:rPr>
      </w:pPr>
      <w:r>
        <w:rPr>
          <w:rFonts w:asciiTheme="minorHAnsi" w:hAnsiTheme="minorHAnsi" w:cstheme="minorHAnsi"/>
        </w:rPr>
        <w:t>Federal reporting requirements that are still not settled</w:t>
      </w:r>
      <w:r w:rsidR="009606C5">
        <w:rPr>
          <w:rFonts w:asciiTheme="minorHAnsi" w:hAnsiTheme="minorHAnsi" w:cstheme="minorHAnsi"/>
        </w:rPr>
        <w:t xml:space="preserve"> </w:t>
      </w:r>
      <w:r w:rsidR="00420861">
        <w:rPr>
          <w:rFonts w:asciiTheme="minorHAnsi" w:hAnsiTheme="minorHAnsi" w:cstheme="minorHAnsi"/>
        </w:rPr>
        <w:t>and partially understood</w:t>
      </w:r>
      <w:r w:rsidR="009606C5">
        <w:rPr>
          <w:rFonts w:asciiTheme="minorHAnsi" w:hAnsiTheme="minorHAnsi" w:cstheme="minorHAnsi"/>
        </w:rPr>
        <w:t>; this point is further exacerbated due to the change in administration and agency staff.</w:t>
      </w:r>
    </w:p>
    <w:p w14:paraId="764D006A" w14:textId="0A208906" w:rsidR="00062D3A" w:rsidRDefault="00062D3A" w:rsidP="00F52A73">
      <w:pPr>
        <w:rPr>
          <w:rFonts w:asciiTheme="minorHAnsi" w:hAnsiTheme="minorHAnsi" w:cstheme="minorHAnsi"/>
          <w:sz w:val="16"/>
          <w:szCs w:val="16"/>
        </w:rPr>
      </w:pPr>
    </w:p>
    <w:p w14:paraId="1D3573A3" w14:textId="26A2007E" w:rsidR="00D23F49" w:rsidRDefault="00D23F49" w:rsidP="00F52A73">
      <w:pPr>
        <w:rPr>
          <w:rFonts w:asciiTheme="minorHAnsi" w:hAnsiTheme="minorHAnsi" w:cstheme="minorHAnsi"/>
          <w:sz w:val="16"/>
          <w:szCs w:val="16"/>
        </w:rPr>
      </w:pPr>
    </w:p>
    <w:p w14:paraId="47512457" w14:textId="77777777" w:rsidR="00D23F49" w:rsidRDefault="00D23F49" w:rsidP="00D23F49">
      <w:pPr>
        <w:rPr>
          <w:rFonts w:asciiTheme="minorHAnsi" w:hAnsiTheme="minorHAnsi" w:cstheme="minorHAnsi"/>
        </w:rPr>
      </w:pPr>
    </w:p>
    <w:p w14:paraId="0EEBF1E7" w14:textId="77777777" w:rsidR="00D23F49" w:rsidRDefault="00D23F49" w:rsidP="00D23F49">
      <w:pPr>
        <w:rPr>
          <w:rFonts w:asciiTheme="minorHAnsi" w:hAnsiTheme="minorHAnsi" w:cstheme="minorHAnsi"/>
        </w:rPr>
      </w:pPr>
      <w:r w:rsidRPr="00B06908">
        <w:rPr>
          <w:rFonts w:asciiTheme="minorHAnsi" w:hAnsiTheme="minorHAnsi" w:cstheme="minorHAnsi"/>
          <w:noProof/>
          <w:color w:val="FF0000"/>
        </w:rPr>
        <w:drawing>
          <wp:inline distT="0" distB="0" distL="0" distR="0" wp14:anchorId="1A0DEDB7" wp14:editId="2365355D">
            <wp:extent cx="5915025" cy="828675"/>
            <wp:effectExtent l="0" t="0" r="9525" b="9525"/>
            <wp:docPr id="17" name="Diagram 17"/>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CABEBA9" w14:textId="77777777" w:rsidR="00D23F49" w:rsidRDefault="00D23F49" w:rsidP="00D23F49">
      <w:pPr>
        <w:rPr>
          <w:rFonts w:asciiTheme="minorHAnsi" w:hAnsiTheme="minorHAnsi" w:cstheme="minorHAnsi"/>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gridCol w:w="2337"/>
        <w:gridCol w:w="2338"/>
      </w:tblGrid>
      <w:tr w:rsidR="00D23F49" w14:paraId="33012615" w14:textId="77777777" w:rsidTr="00417C53">
        <w:tc>
          <w:tcPr>
            <w:tcW w:w="2337" w:type="dxa"/>
          </w:tcPr>
          <w:p w14:paraId="3A7C6379" w14:textId="77777777" w:rsidR="00D23F49" w:rsidRPr="007F5CF7" w:rsidRDefault="00D23F49" w:rsidP="00417C53">
            <w:pPr>
              <w:jc w:val="center"/>
              <w:rPr>
                <w:rFonts w:asciiTheme="minorHAnsi" w:hAnsiTheme="minorHAnsi" w:cstheme="minorHAnsi"/>
                <w:b/>
                <w:bCs/>
                <w:color w:val="002060"/>
                <w:sz w:val="24"/>
                <w:szCs w:val="24"/>
              </w:rPr>
            </w:pPr>
            <w:r w:rsidRPr="007D2658">
              <w:rPr>
                <w:rFonts w:asciiTheme="minorHAnsi" w:hAnsiTheme="minorHAnsi" w:cstheme="minorHAnsi"/>
                <w:b/>
                <w:bCs/>
                <w:color w:val="002060"/>
                <w:sz w:val="24"/>
                <w:szCs w:val="24"/>
              </w:rPr>
              <w:t>Decreased Census</w:t>
            </w:r>
          </w:p>
        </w:tc>
        <w:tc>
          <w:tcPr>
            <w:tcW w:w="2338" w:type="dxa"/>
          </w:tcPr>
          <w:p w14:paraId="5100F1D2" w14:textId="77777777" w:rsidR="00D23F49" w:rsidRPr="007F5CF7" w:rsidRDefault="00D23F49" w:rsidP="00417C53">
            <w:pPr>
              <w:jc w:val="center"/>
              <w:rPr>
                <w:rFonts w:asciiTheme="minorHAnsi" w:hAnsiTheme="minorHAnsi" w:cstheme="minorHAnsi"/>
                <w:b/>
                <w:bCs/>
                <w:color w:val="002060"/>
                <w:sz w:val="24"/>
                <w:szCs w:val="24"/>
              </w:rPr>
            </w:pPr>
            <w:r w:rsidRPr="007D2658">
              <w:rPr>
                <w:rFonts w:asciiTheme="minorHAnsi" w:hAnsiTheme="minorHAnsi" w:cstheme="minorHAnsi"/>
                <w:b/>
                <w:bCs/>
                <w:color w:val="002060"/>
                <w:sz w:val="24"/>
                <w:szCs w:val="24"/>
              </w:rPr>
              <w:t>Increased Expense</w:t>
            </w:r>
          </w:p>
          <w:p w14:paraId="2C49EF77" w14:textId="77777777" w:rsidR="00D23F49" w:rsidRPr="007F5CF7" w:rsidRDefault="00D23F49" w:rsidP="00417C53">
            <w:pPr>
              <w:jc w:val="center"/>
              <w:rPr>
                <w:rFonts w:asciiTheme="minorHAnsi" w:hAnsiTheme="minorHAnsi" w:cstheme="minorHAnsi"/>
                <w:b/>
                <w:bCs/>
                <w:color w:val="002060"/>
                <w:sz w:val="24"/>
                <w:szCs w:val="24"/>
              </w:rPr>
            </w:pPr>
          </w:p>
        </w:tc>
        <w:tc>
          <w:tcPr>
            <w:tcW w:w="2337" w:type="dxa"/>
          </w:tcPr>
          <w:p w14:paraId="2B746A78" w14:textId="77777777" w:rsidR="00D23F49" w:rsidRPr="007F5CF7" w:rsidRDefault="00D23F49" w:rsidP="00417C53">
            <w:pPr>
              <w:jc w:val="center"/>
              <w:rPr>
                <w:rFonts w:asciiTheme="minorHAnsi" w:hAnsiTheme="minorHAnsi" w:cstheme="minorHAnsi"/>
                <w:b/>
                <w:bCs/>
                <w:color w:val="002060"/>
                <w:sz w:val="24"/>
                <w:szCs w:val="24"/>
              </w:rPr>
            </w:pPr>
            <w:r w:rsidRPr="007D2658">
              <w:rPr>
                <w:rFonts w:asciiTheme="minorHAnsi" w:hAnsiTheme="minorHAnsi" w:cstheme="minorHAnsi"/>
                <w:b/>
                <w:bCs/>
                <w:color w:val="002060"/>
                <w:sz w:val="24"/>
                <w:szCs w:val="24"/>
              </w:rPr>
              <w:t>Decreased Revenue</w:t>
            </w:r>
          </w:p>
        </w:tc>
        <w:tc>
          <w:tcPr>
            <w:tcW w:w="2338" w:type="dxa"/>
          </w:tcPr>
          <w:p w14:paraId="2C2546F3" w14:textId="77777777" w:rsidR="00D23F49" w:rsidRPr="007F5CF7" w:rsidRDefault="00D23F49" w:rsidP="00417C53">
            <w:pPr>
              <w:jc w:val="center"/>
              <w:rPr>
                <w:rFonts w:asciiTheme="minorHAnsi" w:hAnsiTheme="minorHAnsi" w:cstheme="minorHAnsi"/>
                <w:b/>
                <w:bCs/>
                <w:color w:val="002060"/>
                <w:sz w:val="24"/>
                <w:szCs w:val="24"/>
              </w:rPr>
            </w:pPr>
            <w:r w:rsidRPr="007D2658">
              <w:rPr>
                <w:rFonts w:asciiTheme="minorHAnsi" w:hAnsiTheme="minorHAnsi" w:cstheme="minorHAnsi"/>
                <w:b/>
                <w:bCs/>
                <w:color w:val="002060"/>
                <w:sz w:val="24"/>
                <w:szCs w:val="24"/>
              </w:rPr>
              <w:t>Increased Funding</w:t>
            </w:r>
          </w:p>
          <w:p w14:paraId="2D1FAB73" w14:textId="77777777" w:rsidR="00D23F49" w:rsidRPr="007F5CF7" w:rsidRDefault="00D23F49" w:rsidP="00417C53">
            <w:pPr>
              <w:jc w:val="center"/>
              <w:rPr>
                <w:rFonts w:asciiTheme="minorHAnsi" w:hAnsiTheme="minorHAnsi" w:cstheme="minorHAnsi"/>
                <w:b/>
                <w:bCs/>
                <w:color w:val="002060"/>
                <w:sz w:val="24"/>
                <w:szCs w:val="24"/>
              </w:rPr>
            </w:pPr>
          </w:p>
        </w:tc>
      </w:tr>
      <w:tr w:rsidR="00D23F49" w14:paraId="7C02FF6D" w14:textId="77777777" w:rsidTr="00417C53">
        <w:tc>
          <w:tcPr>
            <w:tcW w:w="2337" w:type="dxa"/>
          </w:tcPr>
          <w:p w14:paraId="4E1EBC29" w14:textId="77777777" w:rsidR="00D23F49" w:rsidRDefault="00D23F49" w:rsidP="00417C53">
            <w:pPr>
              <w:jc w:val="center"/>
              <w:rPr>
                <w:rFonts w:asciiTheme="minorHAnsi" w:hAnsiTheme="minorHAnsi" w:cstheme="minorHAnsi"/>
              </w:rPr>
            </w:pPr>
            <w:r>
              <w:rPr>
                <w:rFonts w:asciiTheme="minorHAnsi" w:hAnsiTheme="minorHAnsi" w:cstheme="minorHAnsi"/>
                <w:noProof/>
              </w:rPr>
              <w:drawing>
                <wp:inline distT="0" distB="0" distL="0" distR="0" wp14:anchorId="7CBCE6E1" wp14:editId="75F24B7B">
                  <wp:extent cx="640080" cy="640080"/>
                  <wp:effectExtent l="0" t="0" r="0" b="7620"/>
                  <wp:docPr id="14" name="Graphic 14"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Arrow Down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40080" cy="640080"/>
                          </a:xfrm>
                          <a:prstGeom prst="rect">
                            <a:avLst/>
                          </a:prstGeom>
                        </pic:spPr>
                      </pic:pic>
                    </a:graphicData>
                  </a:graphic>
                </wp:inline>
              </w:drawing>
            </w:r>
          </w:p>
        </w:tc>
        <w:tc>
          <w:tcPr>
            <w:tcW w:w="2338" w:type="dxa"/>
          </w:tcPr>
          <w:p w14:paraId="0C254425" w14:textId="77777777" w:rsidR="00D23F49" w:rsidRDefault="00D23F49" w:rsidP="00417C53">
            <w:pPr>
              <w:jc w:val="center"/>
              <w:rPr>
                <w:rFonts w:asciiTheme="minorHAnsi" w:hAnsiTheme="minorHAnsi" w:cstheme="minorHAnsi"/>
              </w:rPr>
            </w:pPr>
            <w:r>
              <w:rPr>
                <w:rFonts w:asciiTheme="minorHAnsi" w:hAnsiTheme="minorHAnsi" w:cstheme="minorHAnsi"/>
                <w:noProof/>
              </w:rPr>
              <w:drawing>
                <wp:inline distT="0" distB="0" distL="0" distR="0" wp14:anchorId="6B46B6BA" wp14:editId="12DCDFF4">
                  <wp:extent cx="640080" cy="640080"/>
                  <wp:effectExtent l="0" t="0" r="0" b="7620"/>
                  <wp:docPr id="13" name="Graphic 13"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rrow Up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0080" cy="640080"/>
                          </a:xfrm>
                          <a:prstGeom prst="rect">
                            <a:avLst/>
                          </a:prstGeom>
                        </pic:spPr>
                      </pic:pic>
                    </a:graphicData>
                  </a:graphic>
                </wp:inline>
              </w:drawing>
            </w:r>
          </w:p>
        </w:tc>
        <w:tc>
          <w:tcPr>
            <w:tcW w:w="2337" w:type="dxa"/>
          </w:tcPr>
          <w:p w14:paraId="0CB3EB5A" w14:textId="77777777" w:rsidR="00D23F49" w:rsidRDefault="00D23F49" w:rsidP="00417C53">
            <w:pPr>
              <w:jc w:val="center"/>
              <w:rPr>
                <w:rFonts w:asciiTheme="minorHAnsi" w:hAnsiTheme="minorHAnsi" w:cstheme="minorHAnsi"/>
              </w:rPr>
            </w:pPr>
            <w:r>
              <w:rPr>
                <w:rFonts w:asciiTheme="minorHAnsi" w:hAnsiTheme="minorHAnsi" w:cstheme="minorHAnsi"/>
                <w:noProof/>
              </w:rPr>
              <w:drawing>
                <wp:inline distT="0" distB="0" distL="0" distR="0" wp14:anchorId="3E885A26" wp14:editId="0FF73ABA">
                  <wp:extent cx="640080" cy="640080"/>
                  <wp:effectExtent l="0" t="0" r="0" b="7620"/>
                  <wp:docPr id="16" name="Graphic 16"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Arrow Down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40080" cy="640080"/>
                          </a:xfrm>
                          <a:prstGeom prst="rect">
                            <a:avLst/>
                          </a:prstGeom>
                        </pic:spPr>
                      </pic:pic>
                    </a:graphicData>
                  </a:graphic>
                </wp:inline>
              </w:drawing>
            </w:r>
          </w:p>
        </w:tc>
        <w:tc>
          <w:tcPr>
            <w:tcW w:w="2338" w:type="dxa"/>
          </w:tcPr>
          <w:p w14:paraId="6D58A01A" w14:textId="77777777" w:rsidR="00D23F49" w:rsidRDefault="00D23F49" w:rsidP="00417C53">
            <w:pPr>
              <w:jc w:val="center"/>
              <w:rPr>
                <w:rFonts w:asciiTheme="minorHAnsi" w:hAnsiTheme="minorHAnsi" w:cstheme="minorHAnsi"/>
              </w:rPr>
            </w:pPr>
            <w:r>
              <w:rPr>
                <w:rFonts w:asciiTheme="minorHAnsi" w:hAnsiTheme="minorHAnsi" w:cstheme="minorHAnsi"/>
                <w:noProof/>
              </w:rPr>
              <w:drawing>
                <wp:inline distT="0" distB="0" distL="0" distR="0" wp14:anchorId="1A9499A9" wp14:editId="51D7A2B0">
                  <wp:extent cx="640080" cy="640080"/>
                  <wp:effectExtent l="0" t="0" r="0" b="7620"/>
                  <wp:docPr id="15" name="Graphic 15"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rrow Up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0080" cy="640080"/>
                          </a:xfrm>
                          <a:prstGeom prst="rect">
                            <a:avLst/>
                          </a:prstGeom>
                        </pic:spPr>
                      </pic:pic>
                    </a:graphicData>
                  </a:graphic>
                </wp:inline>
              </w:drawing>
            </w:r>
          </w:p>
        </w:tc>
      </w:tr>
    </w:tbl>
    <w:p w14:paraId="2FF9B82B" w14:textId="1A1B0DA9" w:rsidR="00D23F49" w:rsidRDefault="00D23F49" w:rsidP="00F52A73">
      <w:pPr>
        <w:rPr>
          <w:rFonts w:asciiTheme="minorHAnsi" w:hAnsiTheme="minorHAnsi" w:cstheme="minorHAnsi"/>
          <w:sz w:val="16"/>
          <w:szCs w:val="16"/>
        </w:rPr>
      </w:pPr>
    </w:p>
    <w:p w14:paraId="1AE7BD2D" w14:textId="7A170167" w:rsidR="00D23F49" w:rsidRDefault="00D23F49" w:rsidP="00F52A73">
      <w:pPr>
        <w:rPr>
          <w:rFonts w:asciiTheme="minorHAnsi" w:hAnsiTheme="minorHAnsi" w:cstheme="minorHAnsi"/>
          <w:sz w:val="16"/>
          <w:szCs w:val="16"/>
        </w:rPr>
      </w:pPr>
    </w:p>
    <w:p w14:paraId="5F9DD755" w14:textId="455ACF17" w:rsidR="00D23F49" w:rsidRDefault="00D23F49" w:rsidP="00F52A73">
      <w:pPr>
        <w:rPr>
          <w:rFonts w:asciiTheme="minorHAnsi" w:hAnsiTheme="minorHAnsi" w:cstheme="minorHAnsi"/>
          <w:sz w:val="16"/>
          <w:szCs w:val="16"/>
        </w:rPr>
      </w:pPr>
    </w:p>
    <w:p w14:paraId="47C77ED2" w14:textId="4B59137B" w:rsidR="00D23F49" w:rsidRDefault="00D23F49" w:rsidP="00F52A73">
      <w:pPr>
        <w:rPr>
          <w:rFonts w:asciiTheme="minorHAnsi" w:hAnsiTheme="minorHAnsi" w:cstheme="minorHAnsi"/>
          <w:sz w:val="16"/>
          <w:szCs w:val="16"/>
        </w:rPr>
      </w:pPr>
    </w:p>
    <w:p w14:paraId="334D43AE" w14:textId="362A3690" w:rsidR="00D23F49" w:rsidRDefault="00D23F49" w:rsidP="00F52A73">
      <w:pPr>
        <w:rPr>
          <w:rFonts w:asciiTheme="minorHAnsi" w:hAnsiTheme="minorHAnsi" w:cstheme="minorHAnsi"/>
          <w:sz w:val="16"/>
          <w:szCs w:val="16"/>
        </w:rPr>
      </w:pPr>
    </w:p>
    <w:p w14:paraId="0C7C0FAD" w14:textId="6E32E7FF" w:rsidR="00D23F49" w:rsidRDefault="00D23F49" w:rsidP="00F52A73">
      <w:pPr>
        <w:rPr>
          <w:rFonts w:asciiTheme="minorHAnsi" w:hAnsiTheme="minorHAnsi" w:cstheme="minorHAnsi"/>
          <w:sz w:val="16"/>
          <w:szCs w:val="16"/>
        </w:rPr>
      </w:pPr>
    </w:p>
    <w:p w14:paraId="31FB08E4" w14:textId="0690D1FF" w:rsidR="00A165FA" w:rsidRDefault="00A165FA" w:rsidP="00F52A73">
      <w:pPr>
        <w:rPr>
          <w:rFonts w:asciiTheme="minorHAnsi" w:hAnsiTheme="minorHAnsi" w:cstheme="minorHAnsi"/>
          <w:sz w:val="16"/>
          <w:szCs w:val="16"/>
        </w:rPr>
      </w:pPr>
    </w:p>
    <w:p w14:paraId="7CD4DBD4" w14:textId="0D025D10" w:rsidR="00A165FA" w:rsidRDefault="00A165FA" w:rsidP="00F52A73">
      <w:pPr>
        <w:rPr>
          <w:rFonts w:asciiTheme="minorHAnsi" w:hAnsiTheme="minorHAnsi" w:cstheme="minorHAnsi"/>
          <w:sz w:val="16"/>
          <w:szCs w:val="16"/>
        </w:rPr>
      </w:pPr>
    </w:p>
    <w:p w14:paraId="2EB8EAD5" w14:textId="0715B3D1" w:rsidR="00A165FA" w:rsidRDefault="00A165FA" w:rsidP="00F52A73">
      <w:pPr>
        <w:rPr>
          <w:rFonts w:asciiTheme="minorHAnsi" w:hAnsiTheme="minorHAnsi" w:cstheme="minorHAnsi"/>
          <w:sz w:val="16"/>
          <w:szCs w:val="16"/>
        </w:rPr>
      </w:pPr>
    </w:p>
    <w:p w14:paraId="66A00282" w14:textId="238D2E2A" w:rsidR="00A165FA" w:rsidRDefault="00A165FA" w:rsidP="00F52A73">
      <w:pPr>
        <w:rPr>
          <w:rFonts w:asciiTheme="minorHAnsi" w:hAnsiTheme="minorHAnsi" w:cstheme="minorHAnsi"/>
          <w:sz w:val="16"/>
          <w:szCs w:val="16"/>
        </w:rPr>
      </w:pPr>
    </w:p>
    <w:p w14:paraId="7A30BB2D" w14:textId="3A8996D9" w:rsidR="00A165FA" w:rsidRDefault="00A165FA" w:rsidP="00F52A73">
      <w:pPr>
        <w:rPr>
          <w:rFonts w:asciiTheme="minorHAnsi" w:hAnsiTheme="minorHAnsi" w:cstheme="minorHAnsi"/>
          <w:sz w:val="16"/>
          <w:szCs w:val="16"/>
        </w:rPr>
      </w:pPr>
    </w:p>
    <w:p w14:paraId="4B6CD314" w14:textId="28EA94B6" w:rsidR="00A165FA" w:rsidRDefault="00A165FA" w:rsidP="00F52A73">
      <w:pPr>
        <w:rPr>
          <w:rFonts w:asciiTheme="minorHAnsi" w:hAnsiTheme="minorHAnsi" w:cstheme="minorHAnsi"/>
          <w:sz w:val="16"/>
          <w:szCs w:val="16"/>
        </w:rPr>
      </w:pPr>
    </w:p>
    <w:p w14:paraId="4A57D9EA" w14:textId="77777777" w:rsidR="00A165FA" w:rsidRPr="00223E5B" w:rsidRDefault="00A165FA" w:rsidP="00F52A73">
      <w:pPr>
        <w:rPr>
          <w:rFonts w:asciiTheme="minorHAnsi" w:hAnsiTheme="minorHAnsi" w:cstheme="minorHAnsi"/>
          <w:sz w:val="16"/>
          <w:szCs w:val="16"/>
        </w:rPr>
      </w:pPr>
    </w:p>
    <w:p w14:paraId="3A91EAF5" w14:textId="524BE113" w:rsidR="00223E5B" w:rsidRPr="00223E5B" w:rsidRDefault="00CE1BD2" w:rsidP="00F52A73">
      <w:pPr>
        <w:rPr>
          <w:rFonts w:asciiTheme="minorHAnsi" w:hAnsiTheme="minorHAnsi" w:cstheme="minorHAnsi"/>
          <w:sz w:val="16"/>
          <w:szCs w:val="16"/>
        </w:rPr>
      </w:pPr>
      <w:r w:rsidRPr="00B06908">
        <w:rPr>
          <w:rFonts w:asciiTheme="minorHAnsi" w:hAnsiTheme="minorHAnsi" w:cstheme="minorHAnsi"/>
          <w:noProof/>
          <w:color w:val="FF0000"/>
        </w:rPr>
        <w:drawing>
          <wp:inline distT="0" distB="0" distL="0" distR="0" wp14:anchorId="440668D9" wp14:editId="5A676CF7">
            <wp:extent cx="6229350" cy="828675"/>
            <wp:effectExtent l="0" t="0" r="38100" b="9525"/>
            <wp:docPr id="5" name="Diagram 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FE033CC" w14:textId="77777777" w:rsidR="00062D3A" w:rsidRPr="00062D3A" w:rsidRDefault="00062D3A" w:rsidP="007F3C9F">
      <w:pPr>
        <w:rPr>
          <w:rFonts w:asciiTheme="minorHAnsi" w:hAnsiTheme="minorHAnsi" w:cstheme="minorHAnsi"/>
        </w:rPr>
      </w:pPr>
    </w:p>
    <w:p w14:paraId="70FF3C2D" w14:textId="74947FB3" w:rsidR="00F52A73" w:rsidRDefault="00CE1BD2" w:rsidP="007F3C9F">
      <w:pPr>
        <w:rPr>
          <w:rFonts w:asciiTheme="minorHAnsi" w:hAnsiTheme="minorHAnsi" w:cstheme="minorHAnsi"/>
        </w:rPr>
      </w:pPr>
      <w:r>
        <w:rPr>
          <w:rFonts w:asciiTheme="minorHAnsi" w:hAnsiTheme="minorHAnsi" w:cstheme="minorHAnsi"/>
        </w:rPr>
        <w:t>The overlap of cost reporting and funding from emergency relief programs will confound rate setting for two years or more</w:t>
      </w:r>
      <w:r w:rsidR="00AD512A">
        <w:rPr>
          <w:rFonts w:asciiTheme="minorHAnsi" w:hAnsiTheme="minorHAnsi" w:cstheme="minorHAnsi"/>
        </w:rPr>
        <w:t>.</w:t>
      </w:r>
      <w:r w:rsidR="00627BC4">
        <w:rPr>
          <w:rFonts w:asciiTheme="minorHAnsi" w:hAnsiTheme="minorHAnsi" w:cstheme="minorHAnsi"/>
          <w:noProof/>
        </w:rPr>
        <w:drawing>
          <wp:inline distT="0" distB="0" distL="0" distR="0" wp14:anchorId="3C316672" wp14:editId="184057F0">
            <wp:extent cx="5636260" cy="3028950"/>
            <wp:effectExtent l="19050" t="19050" r="2159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36547" cy="3029104"/>
                    </a:xfrm>
                    <a:prstGeom prst="rect">
                      <a:avLst/>
                    </a:prstGeom>
                    <a:noFill/>
                    <a:ln>
                      <a:solidFill>
                        <a:schemeClr val="accent1"/>
                      </a:solidFill>
                    </a:ln>
                  </pic:spPr>
                </pic:pic>
              </a:graphicData>
            </a:graphic>
          </wp:inline>
        </w:drawing>
      </w:r>
    </w:p>
    <w:p w14:paraId="783E23F5" w14:textId="77777777" w:rsidR="007D2658" w:rsidRDefault="007D2658" w:rsidP="00F52A73">
      <w:pPr>
        <w:rPr>
          <w:rFonts w:asciiTheme="minorHAnsi" w:hAnsiTheme="minorHAnsi" w:cstheme="minorHAnsi"/>
        </w:rPr>
      </w:pPr>
    </w:p>
    <w:p w14:paraId="7C421794" w14:textId="3353AEFF" w:rsidR="00EF5DBD" w:rsidRDefault="00EF5DBD" w:rsidP="00F52A73">
      <w:pPr>
        <w:rPr>
          <w:rFonts w:asciiTheme="minorHAnsi" w:hAnsiTheme="minorHAnsi" w:cstheme="minorHAnsi"/>
        </w:rPr>
      </w:pPr>
    </w:p>
    <w:p w14:paraId="2C6D43C8" w14:textId="6FB48E68" w:rsidR="00317296" w:rsidRDefault="00317296" w:rsidP="00F52A73">
      <w:pPr>
        <w:rPr>
          <w:rFonts w:asciiTheme="minorHAnsi" w:hAnsiTheme="minorHAnsi" w:cstheme="minorHAnsi"/>
        </w:rPr>
      </w:pPr>
      <w:r w:rsidRPr="00B06908">
        <w:rPr>
          <w:rFonts w:asciiTheme="minorHAnsi" w:hAnsiTheme="minorHAnsi" w:cstheme="minorHAnsi"/>
          <w:noProof/>
          <w:color w:val="FF0000"/>
        </w:rPr>
        <w:drawing>
          <wp:inline distT="0" distB="0" distL="0" distR="0" wp14:anchorId="7CC82709" wp14:editId="5F348961">
            <wp:extent cx="5915025" cy="828675"/>
            <wp:effectExtent l="0" t="19050" r="9525" b="47625"/>
            <wp:docPr id="18" name="Diagram 1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3630BC0" w14:textId="77777777" w:rsidR="00C55F08" w:rsidRDefault="00C55F08" w:rsidP="00C55F08">
      <w:pPr>
        <w:pStyle w:val="ListParagraph"/>
        <w:rPr>
          <w:rFonts w:asciiTheme="minorHAnsi" w:hAnsiTheme="minorHAnsi" w:cstheme="minorHAnsi"/>
        </w:rPr>
      </w:pPr>
    </w:p>
    <w:p w14:paraId="7CA389CF" w14:textId="7C606078" w:rsidR="005E0A8A" w:rsidRDefault="0080314C" w:rsidP="005E0A8A">
      <w:pPr>
        <w:rPr>
          <w:rFonts w:asciiTheme="minorHAnsi" w:hAnsiTheme="minorHAnsi" w:cstheme="minorHAnsi"/>
        </w:rPr>
      </w:pPr>
      <w:r>
        <w:rPr>
          <w:rFonts w:asciiTheme="minorHAnsi" w:hAnsiTheme="minorHAnsi" w:cstheme="minorHAnsi"/>
        </w:rPr>
        <w:t xml:space="preserve">Nursing facilities </w:t>
      </w:r>
      <w:r w:rsidR="005E0A8A">
        <w:rPr>
          <w:rFonts w:asciiTheme="minorHAnsi" w:hAnsiTheme="minorHAnsi" w:cstheme="minorHAnsi"/>
        </w:rPr>
        <w:t>have</w:t>
      </w:r>
      <w:r>
        <w:rPr>
          <w:rFonts w:asciiTheme="minorHAnsi" w:hAnsiTheme="minorHAnsi" w:cstheme="minorHAnsi"/>
        </w:rPr>
        <w:t xml:space="preserve"> balance</w:t>
      </w:r>
      <w:r w:rsidR="005E0A8A">
        <w:rPr>
          <w:rFonts w:asciiTheme="minorHAnsi" w:hAnsiTheme="minorHAnsi" w:cstheme="minorHAnsi"/>
        </w:rPr>
        <w:t>d</w:t>
      </w:r>
      <w:r>
        <w:rPr>
          <w:rFonts w:asciiTheme="minorHAnsi" w:hAnsiTheme="minorHAnsi" w:cstheme="minorHAnsi"/>
        </w:rPr>
        <w:t xml:space="preserve"> the immediate needs of their residents and staff with the </w:t>
      </w:r>
      <w:r w:rsidR="00B83013">
        <w:rPr>
          <w:rFonts w:asciiTheme="minorHAnsi" w:hAnsiTheme="minorHAnsi" w:cstheme="minorHAnsi"/>
        </w:rPr>
        <w:t xml:space="preserve">possibility that no more </w:t>
      </w:r>
      <w:r w:rsidR="00915762">
        <w:rPr>
          <w:rFonts w:asciiTheme="minorHAnsi" w:hAnsiTheme="minorHAnsi" w:cstheme="minorHAnsi"/>
        </w:rPr>
        <w:t xml:space="preserve">federal aid will arrive and lack of clarity about whether </w:t>
      </w:r>
      <w:r w:rsidR="006F7CA4">
        <w:rPr>
          <w:rFonts w:asciiTheme="minorHAnsi" w:hAnsiTheme="minorHAnsi" w:cstheme="minorHAnsi"/>
        </w:rPr>
        <w:t xml:space="preserve">or when </w:t>
      </w:r>
      <w:r w:rsidR="00915762">
        <w:rPr>
          <w:rFonts w:asciiTheme="minorHAnsi" w:hAnsiTheme="minorHAnsi" w:cstheme="minorHAnsi"/>
        </w:rPr>
        <w:t>they can access state emergency funds</w:t>
      </w:r>
      <w:r w:rsidR="00B83013">
        <w:rPr>
          <w:rFonts w:asciiTheme="minorHAnsi" w:hAnsiTheme="minorHAnsi" w:cstheme="minorHAnsi"/>
        </w:rPr>
        <w:t>.</w:t>
      </w:r>
      <w:r w:rsidR="005E0A8A">
        <w:rPr>
          <w:rFonts w:asciiTheme="minorHAnsi" w:hAnsiTheme="minorHAnsi" w:cstheme="minorHAnsi"/>
        </w:rPr>
        <w:t xml:space="preserve"> The</w:t>
      </w:r>
      <w:r w:rsidR="00915762">
        <w:rPr>
          <w:rFonts w:asciiTheme="minorHAnsi" w:hAnsiTheme="minorHAnsi" w:cstheme="minorHAnsi"/>
        </w:rPr>
        <w:t xml:space="preserve"> federal funds require reporting</w:t>
      </w:r>
      <w:r w:rsidR="005E0A8A">
        <w:rPr>
          <w:rFonts w:asciiTheme="minorHAnsi" w:hAnsiTheme="minorHAnsi" w:cstheme="minorHAnsi"/>
        </w:rPr>
        <w:t>, an audit, and the return of any unused funds. While there are numerous pages o</w:t>
      </w:r>
      <w:r w:rsidR="00915762">
        <w:rPr>
          <w:rFonts w:asciiTheme="minorHAnsi" w:hAnsiTheme="minorHAnsi" w:cstheme="minorHAnsi"/>
        </w:rPr>
        <w:t>f</w:t>
      </w:r>
      <w:r w:rsidR="005E0A8A">
        <w:rPr>
          <w:rFonts w:asciiTheme="minorHAnsi" w:hAnsiTheme="minorHAnsi" w:cstheme="minorHAnsi"/>
        </w:rPr>
        <w:t xml:space="preserve"> guidance, neither the reporting form </w:t>
      </w:r>
      <w:r w:rsidR="00C06027">
        <w:rPr>
          <w:rFonts w:asciiTheme="minorHAnsi" w:hAnsiTheme="minorHAnsi" w:cstheme="minorHAnsi"/>
        </w:rPr>
        <w:t>nor</w:t>
      </w:r>
      <w:r w:rsidR="005E0A8A">
        <w:rPr>
          <w:rFonts w:asciiTheme="minorHAnsi" w:hAnsiTheme="minorHAnsi" w:cstheme="minorHAnsi"/>
        </w:rPr>
        <w:t xml:space="preserve"> the instructions are </w:t>
      </w:r>
      <w:r w:rsidR="00915762">
        <w:rPr>
          <w:rFonts w:asciiTheme="minorHAnsi" w:hAnsiTheme="minorHAnsi" w:cstheme="minorHAnsi"/>
        </w:rPr>
        <w:t xml:space="preserve">yet </w:t>
      </w:r>
      <w:r w:rsidR="005E0A8A">
        <w:rPr>
          <w:rFonts w:asciiTheme="minorHAnsi" w:hAnsiTheme="minorHAnsi" w:cstheme="minorHAnsi"/>
        </w:rPr>
        <w:t>available</w:t>
      </w:r>
      <w:r w:rsidR="006F7CA4">
        <w:rPr>
          <w:rFonts w:asciiTheme="minorHAnsi" w:hAnsiTheme="minorHAnsi" w:cstheme="minorHAnsi"/>
        </w:rPr>
        <w:t xml:space="preserve"> and with the administration change this information may not be immediately forthcoming</w:t>
      </w:r>
      <w:r w:rsidR="005E0A8A">
        <w:rPr>
          <w:rFonts w:asciiTheme="minorHAnsi" w:hAnsiTheme="minorHAnsi" w:cstheme="minorHAnsi"/>
        </w:rPr>
        <w:t>.</w:t>
      </w:r>
    </w:p>
    <w:p w14:paraId="17FB2E70" w14:textId="2ABE8D68" w:rsidR="00B73245" w:rsidRDefault="00B73245" w:rsidP="0080314C">
      <w:pPr>
        <w:rPr>
          <w:rFonts w:asciiTheme="minorHAnsi" w:hAnsiTheme="minorHAnsi" w:cstheme="minorHAnsi"/>
        </w:rPr>
      </w:pPr>
    </w:p>
    <w:p w14:paraId="6E4F908E" w14:textId="1916EB0B" w:rsidR="00B73245" w:rsidRDefault="00783799" w:rsidP="0080314C">
      <w:pPr>
        <w:rPr>
          <w:rFonts w:asciiTheme="minorHAnsi" w:hAnsiTheme="minorHAnsi" w:cstheme="minorHAnsi"/>
        </w:rPr>
      </w:pPr>
      <w:r>
        <w:rPr>
          <w:rFonts w:asciiTheme="minorHAnsi" w:hAnsiTheme="minorHAnsi" w:cstheme="minorHAnsi"/>
        </w:rPr>
        <w:t xml:space="preserve">While there is potential relief from </w:t>
      </w:r>
      <w:r w:rsidRPr="005E0A8A">
        <w:rPr>
          <w:rFonts w:asciiTheme="minorHAnsi" w:hAnsiTheme="minorHAnsi" w:cstheme="minorHAnsi"/>
          <w:b/>
          <w:bCs/>
          <w:color w:val="002060"/>
        </w:rPr>
        <w:t>Minnesota Medicaid via 12A.10 statutes</w:t>
      </w:r>
      <w:r>
        <w:rPr>
          <w:rFonts w:asciiTheme="minorHAnsi" w:hAnsiTheme="minorHAnsi" w:cstheme="minorHAnsi"/>
        </w:rPr>
        <w:t>, the</w:t>
      </w:r>
      <w:r w:rsidR="00E22CB0">
        <w:rPr>
          <w:rFonts w:asciiTheme="minorHAnsi" w:hAnsiTheme="minorHAnsi" w:cstheme="minorHAnsi"/>
        </w:rPr>
        <w:t xml:space="preserve"> emergency powers granted to the Minnesota Department of Human Services </w:t>
      </w:r>
      <w:r w:rsidR="009F79E7">
        <w:rPr>
          <w:rFonts w:asciiTheme="minorHAnsi" w:hAnsiTheme="minorHAnsi" w:cstheme="minorHAnsi"/>
        </w:rPr>
        <w:t>were designed with a discreet type of emergency in mind</w:t>
      </w:r>
      <w:r w:rsidR="00915762">
        <w:rPr>
          <w:rFonts w:asciiTheme="minorHAnsi" w:hAnsiTheme="minorHAnsi" w:cstheme="minorHAnsi"/>
        </w:rPr>
        <w:t xml:space="preserve"> that impacted a small number of providers at a time</w:t>
      </w:r>
      <w:r w:rsidR="009F79E7">
        <w:rPr>
          <w:rFonts w:asciiTheme="minorHAnsi" w:hAnsiTheme="minorHAnsi" w:cstheme="minorHAnsi"/>
        </w:rPr>
        <w:t xml:space="preserve">. </w:t>
      </w:r>
      <w:r w:rsidR="00B869D3">
        <w:rPr>
          <w:rFonts w:asciiTheme="minorHAnsi" w:hAnsiTheme="minorHAnsi" w:cstheme="minorHAnsi"/>
        </w:rPr>
        <w:t xml:space="preserve">Previously, </w:t>
      </w:r>
      <w:r w:rsidR="009B67F0">
        <w:rPr>
          <w:rFonts w:asciiTheme="minorHAnsi" w:hAnsiTheme="minorHAnsi" w:cstheme="minorHAnsi"/>
        </w:rPr>
        <w:t xml:space="preserve">qualifying emergencies included </w:t>
      </w:r>
      <w:r w:rsidR="006F305B">
        <w:rPr>
          <w:rFonts w:asciiTheme="minorHAnsi" w:hAnsiTheme="minorHAnsi" w:cstheme="minorHAnsi"/>
        </w:rPr>
        <w:t xml:space="preserve">damage from tornados and evacuations due to flood or fire. </w:t>
      </w:r>
      <w:r w:rsidR="000D4D14">
        <w:rPr>
          <w:rFonts w:asciiTheme="minorHAnsi" w:hAnsiTheme="minorHAnsi" w:cstheme="minorHAnsi"/>
        </w:rPr>
        <w:t>The pandemic, however, is not isolated to a specific day or week, but instead the pandemic will</w:t>
      </w:r>
      <w:r w:rsidR="00064F49">
        <w:rPr>
          <w:rFonts w:asciiTheme="minorHAnsi" w:hAnsiTheme="minorHAnsi" w:cstheme="minorHAnsi"/>
        </w:rPr>
        <w:t xml:space="preserve"> continue through 2021 and cross </w:t>
      </w:r>
      <w:r w:rsidR="00915762">
        <w:rPr>
          <w:rFonts w:asciiTheme="minorHAnsi" w:hAnsiTheme="minorHAnsi" w:cstheme="minorHAnsi"/>
        </w:rPr>
        <w:t>multiple cost reporting periods.</w:t>
      </w:r>
    </w:p>
    <w:p w14:paraId="097D4456" w14:textId="5FDF2193" w:rsidR="00211403" w:rsidRDefault="006F4E6E" w:rsidP="0080314C">
      <w:pPr>
        <w:rPr>
          <w:rFonts w:asciiTheme="minorHAnsi" w:hAnsiTheme="minorHAnsi" w:cstheme="minorHAnsi"/>
        </w:rPr>
      </w:pPr>
      <w:r>
        <w:rPr>
          <w:rFonts w:asciiTheme="minorHAnsi" w:hAnsiTheme="minorHAnsi" w:cstheme="minorHAnsi"/>
        </w:rPr>
        <w:lastRenderedPageBreak/>
        <w:t>DHS has developed a process for nursing facilities to receive payment</w:t>
      </w:r>
      <w:r w:rsidR="00915762">
        <w:rPr>
          <w:rFonts w:asciiTheme="minorHAnsi" w:hAnsiTheme="minorHAnsi" w:cstheme="minorHAnsi"/>
        </w:rPr>
        <w:t xml:space="preserve"> for Covid-19 related costs</w:t>
      </w:r>
      <w:r w:rsidR="00497295">
        <w:rPr>
          <w:rFonts w:asciiTheme="minorHAnsi" w:hAnsiTheme="minorHAnsi" w:cstheme="minorHAnsi"/>
        </w:rPr>
        <w:t xml:space="preserve"> via the 12A.10 statutes. These payments will be adjusted of</w:t>
      </w:r>
      <w:r w:rsidR="00915762">
        <w:rPr>
          <w:rFonts w:asciiTheme="minorHAnsi" w:hAnsiTheme="minorHAnsi" w:cstheme="minorHAnsi"/>
        </w:rPr>
        <w:t>f</w:t>
      </w:r>
      <w:r w:rsidR="00497295">
        <w:rPr>
          <w:rFonts w:asciiTheme="minorHAnsi" w:hAnsiTheme="minorHAnsi" w:cstheme="minorHAnsi"/>
        </w:rPr>
        <w:t xml:space="preserve"> the </w:t>
      </w:r>
      <w:r w:rsidR="008870B1">
        <w:rPr>
          <w:rFonts w:asciiTheme="minorHAnsi" w:hAnsiTheme="minorHAnsi" w:cstheme="minorHAnsi"/>
        </w:rPr>
        <w:t>cost report when setting rates in the future.</w:t>
      </w:r>
      <w:r w:rsidR="005E0A8A">
        <w:rPr>
          <w:rFonts w:asciiTheme="minorHAnsi" w:hAnsiTheme="minorHAnsi" w:cstheme="minorHAnsi"/>
        </w:rPr>
        <w:t xml:space="preserve"> </w:t>
      </w:r>
      <w:r w:rsidR="00F82F64">
        <w:rPr>
          <w:rFonts w:asciiTheme="minorHAnsi" w:hAnsiTheme="minorHAnsi" w:cstheme="minorHAnsi"/>
        </w:rPr>
        <w:t>The</w:t>
      </w:r>
      <w:r w:rsidR="00A83730">
        <w:rPr>
          <w:rFonts w:asciiTheme="minorHAnsi" w:hAnsiTheme="minorHAnsi" w:cstheme="minorHAnsi"/>
        </w:rPr>
        <w:t xml:space="preserve"> routine</w:t>
      </w:r>
      <w:r w:rsidR="00F82F64">
        <w:rPr>
          <w:rFonts w:asciiTheme="minorHAnsi" w:hAnsiTheme="minorHAnsi" w:cstheme="minorHAnsi"/>
        </w:rPr>
        <w:t xml:space="preserve"> cost reporting and rate setting, the impacts of the pandemic on </w:t>
      </w:r>
      <w:r w:rsidR="00855442">
        <w:rPr>
          <w:rFonts w:asciiTheme="minorHAnsi" w:hAnsiTheme="minorHAnsi" w:cstheme="minorHAnsi"/>
        </w:rPr>
        <w:t xml:space="preserve">expense and revenue, the </w:t>
      </w:r>
      <w:r w:rsidR="00A83730">
        <w:rPr>
          <w:rFonts w:asciiTheme="minorHAnsi" w:hAnsiTheme="minorHAnsi" w:cstheme="minorHAnsi"/>
        </w:rPr>
        <w:t xml:space="preserve">always </w:t>
      </w:r>
      <w:r w:rsidR="00855442">
        <w:rPr>
          <w:rFonts w:asciiTheme="minorHAnsi" w:hAnsiTheme="minorHAnsi" w:cstheme="minorHAnsi"/>
        </w:rPr>
        <w:t>changing guidance</w:t>
      </w:r>
      <w:r w:rsidR="00D0705E">
        <w:rPr>
          <w:rFonts w:asciiTheme="minorHAnsi" w:hAnsiTheme="minorHAnsi" w:cstheme="minorHAnsi"/>
        </w:rPr>
        <w:t xml:space="preserve">, and Minnesota Statutes 12A.10 have </w:t>
      </w:r>
      <w:r w:rsidR="002F79DA">
        <w:rPr>
          <w:rFonts w:asciiTheme="minorHAnsi" w:hAnsiTheme="minorHAnsi" w:cstheme="minorHAnsi"/>
        </w:rPr>
        <w:t>created several issues.</w:t>
      </w:r>
    </w:p>
    <w:p w14:paraId="0D993A5F" w14:textId="4A61128C" w:rsidR="00B166DF" w:rsidRDefault="00B166DF" w:rsidP="0080314C">
      <w:pPr>
        <w:rPr>
          <w:rFonts w:asciiTheme="minorHAnsi" w:hAnsiTheme="minorHAnsi" w:cstheme="minorHAnsi"/>
        </w:rPr>
      </w:pPr>
    </w:p>
    <w:p w14:paraId="6F7CD0A1" w14:textId="2A1078E3" w:rsidR="00CE3103" w:rsidRDefault="00B166DF" w:rsidP="00CE3103">
      <w:pPr>
        <w:rPr>
          <w:rFonts w:asciiTheme="minorHAnsi" w:hAnsiTheme="minorHAnsi" w:cstheme="minorHAnsi"/>
        </w:rPr>
      </w:pPr>
      <w:r>
        <w:rPr>
          <w:rFonts w:asciiTheme="minorHAnsi" w:hAnsiTheme="minorHAnsi" w:cstheme="minorHAnsi"/>
        </w:rPr>
        <w:t xml:space="preserve">DHS has provided </w:t>
      </w:r>
      <w:r w:rsidR="00A83730">
        <w:rPr>
          <w:rFonts w:asciiTheme="minorHAnsi" w:hAnsiTheme="minorHAnsi" w:cstheme="minorHAnsi"/>
        </w:rPr>
        <w:t>some guidance about the interaction between state and federal</w:t>
      </w:r>
      <w:r w:rsidR="00197699">
        <w:rPr>
          <w:rFonts w:asciiTheme="minorHAnsi" w:hAnsiTheme="minorHAnsi" w:cstheme="minorHAnsi"/>
        </w:rPr>
        <w:t xml:space="preserve"> emergency</w:t>
      </w:r>
      <w:r w:rsidR="00A83730">
        <w:rPr>
          <w:rFonts w:asciiTheme="minorHAnsi" w:hAnsiTheme="minorHAnsi" w:cstheme="minorHAnsi"/>
        </w:rPr>
        <w:t xml:space="preserve"> funds</w:t>
      </w:r>
      <w:r w:rsidR="00197699">
        <w:rPr>
          <w:rFonts w:asciiTheme="minorHAnsi" w:hAnsiTheme="minorHAnsi" w:cstheme="minorHAnsi"/>
        </w:rPr>
        <w:t>:</w:t>
      </w:r>
    </w:p>
    <w:p w14:paraId="104DA5E0" w14:textId="5A51A9A7" w:rsidR="00B166DF" w:rsidRPr="00915762" w:rsidRDefault="00B166DF" w:rsidP="00FE7EEB">
      <w:pPr>
        <w:pStyle w:val="ListParagraph"/>
        <w:numPr>
          <w:ilvl w:val="0"/>
          <w:numId w:val="14"/>
        </w:numPr>
        <w:rPr>
          <w:rFonts w:asciiTheme="minorHAnsi" w:hAnsiTheme="minorHAnsi" w:cstheme="minorHAnsi"/>
        </w:rPr>
      </w:pPr>
      <w:r w:rsidRPr="00915762">
        <w:rPr>
          <w:rFonts w:asciiTheme="minorHAnsi" w:hAnsiTheme="minorHAnsi" w:cstheme="minorHAnsi"/>
        </w:rPr>
        <w:t>Healthcare related expenses attributable to coronavirus that another source has not reimbursed and is not obligated to reimburse</w:t>
      </w:r>
      <w:r w:rsidR="00197699">
        <w:rPr>
          <w:rFonts w:asciiTheme="minorHAnsi" w:hAnsiTheme="minorHAnsi" w:cstheme="minorHAnsi"/>
        </w:rPr>
        <w:t xml:space="preserve"> are eligible for 12A.10 funding</w:t>
      </w:r>
      <w:r w:rsidRPr="00915762">
        <w:rPr>
          <w:rFonts w:asciiTheme="minorHAnsi" w:hAnsiTheme="minorHAnsi" w:cstheme="minorHAnsi"/>
        </w:rPr>
        <w:t>.</w:t>
      </w:r>
      <w:r w:rsidR="00915762">
        <w:rPr>
          <w:rFonts w:asciiTheme="minorHAnsi" w:hAnsiTheme="minorHAnsi" w:cstheme="minorHAnsi"/>
        </w:rPr>
        <w:t xml:space="preserve"> DHS believes that federal relief funds must be used prior to 12A.10.</w:t>
      </w:r>
      <w:r w:rsidRPr="00915762">
        <w:rPr>
          <w:rFonts w:asciiTheme="minorHAnsi" w:hAnsiTheme="minorHAnsi" w:cstheme="minorHAnsi"/>
        </w:rPr>
        <w:t xml:space="preserve">    </w:t>
      </w:r>
    </w:p>
    <w:p w14:paraId="0DE13A80" w14:textId="29728CD3" w:rsidR="00B166DF" w:rsidRPr="00307C98" w:rsidRDefault="00FC6F0D" w:rsidP="00B166DF">
      <w:pPr>
        <w:numPr>
          <w:ilvl w:val="0"/>
          <w:numId w:val="5"/>
        </w:numPr>
        <w:rPr>
          <w:rFonts w:asciiTheme="minorHAnsi" w:hAnsiTheme="minorHAnsi" w:cstheme="minorHAnsi"/>
        </w:rPr>
      </w:pPr>
      <w:r>
        <w:rPr>
          <w:rFonts w:asciiTheme="minorHAnsi" w:hAnsiTheme="minorHAnsi" w:cstheme="minorHAnsi"/>
        </w:rPr>
        <w:t>Provider relief fund</w:t>
      </w:r>
      <w:r w:rsidR="00B166DF" w:rsidRPr="00307C98">
        <w:rPr>
          <w:rFonts w:asciiTheme="minorHAnsi" w:hAnsiTheme="minorHAnsi" w:cstheme="minorHAnsi"/>
        </w:rPr>
        <w:t xml:space="preserve"> payment amounts not fully expended on healthcare related expenses attributable to coronavirus are then applied to patient care lost revenues. </w:t>
      </w:r>
    </w:p>
    <w:p w14:paraId="148DF5DA" w14:textId="77777777" w:rsidR="00B166DF" w:rsidRDefault="00B166DF" w:rsidP="00B166DF">
      <w:pPr>
        <w:rPr>
          <w:rFonts w:asciiTheme="minorHAnsi" w:hAnsiTheme="minorHAnsi" w:cstheme="minorHAnsi"/>
        </w:rPr>
      </w:pPr>
    </w:p>
    <w:p w14:paraId="09115C01" w14:textId="0E20136B" w:rsidR="00B166DF" w:rsidRDefault="007F2809" w:rsidP="0080314C">
      <w:pPr>
        <w:rPr>
          <w:rFonts w:asciiTheme="minorHAnsi" w:hAnsiTheme="minorHAnsi" w:cstheme="minorHAnsi"/>
        </w:rPr>
      </w:pPr>
      <w:r w:rsidRPr="00B06908">
        <w:rPr>
          <w:rFonts w:asciiTheme="minorHAnsi" w:hAnsiTheme="minorHAnsi" w:cstheme="minorHAnsi"/>
          <w:noProof/>
          <w:color w:val="FF0000"/>
        </w:rPr>
        <w:drawing>
          <wp:inline distT="0" distB="0" distL="0" distR="0" wp14:anchorId="7F95B34E" wp14:editId="65592608">
            <wp:extent cx="5915025" cy="828675"/>
            <wp:effectExtent l="0" t="0" r="47625" b="9525"/>
            <wp:docPr id="19" name="Diagram 19"/>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512E7B8" w14:textId="77777777" w:rsidR="002F79DA" w:rsidRDefault="002F79DA" w:rsidP="0080314C">
      <w:pPr>
        <w:rPr>
          <w:rFonts w:asciiTheme="minorHAnsi" w:hAnsiTheme="minorHAnsi" w:cstheme="minorHAnsi"/>
        </w:rPr>
      </w:pPr>
    </w:p>
    <w:p w14:paraId="6DC49945" w14:textId="6A8A2F7D" w:rsidR="00FE02EA" w:rsidRDefault="008329A7" w:rsidP="0080314C">
      <w:pPr>
        <w:rPr>
          <w:rFonts w:asciiTheme="minorHAnsi" w:hAnsiTheme="minorHAnsi" w:cstheme="minorHAnsi"/>
        </w:rPr>
      </w:pPr>
      <w:r>
        <w:rPr>
          <w:rFonts w:asciiTheme="minorHAnsi" w:hAnsiTheme="minorHAnsi" w:cstheme="minorHAnsi"/>
        </w:rPr>
        <w:t xml:space="preserve">DHS has stated that 12A.10 is the payer of last resort. However, </w:t>
      </w:r>
      <w:r w:rsidR="00E27240">
        <w:rPr>
          <w:rFonts w:asciiTheme="minorHAnsi" w:hAnsiTheme="minorHAnsi" w:cstheme="minorHAnsi"/>
        </w:rPr>
        <w:t xml:space="preserve">the federal government has guidance indicating that state Medicaid programs </w:t>
      </w:r>
      <w:r w:rsidR="00915762">
        <w:rPr>
          <w:rFonts w:asciiTheme="minorHAnsi" w:hAnsiTheme="minorHAnsi" w:cstheme="minorHAnsi"/>
        </w:rPr>
        <w:t xml:space="preserve">should be </w:t>
      </w:r>
      <w:r w:rsidR="00197699">
        <w:rPr>
          <w:rFonts w:asciiTheme="minorHAnsi" w:hAnsiTheme="minorHAnsi" w:cstheme="minorHAnsi"/>
        </w:rPr>
        <w:t>accessed</w:t>
      </w:r>
      <w:r w:rsidR="00915762">
        <w:rPr>
          <w:rFonts w:asciiTheme="minorHAnsi" w:hAnsiTheme="minorHAnsi" w:cstheme="minorHAnsi"/>
        </w:rPr>
        <w:t xml:space="preserve"> before using federal relief funds</w:t>
      </w:r>
      <w:r w:rsidR="00E27240">
        <w:rPr>
          <w:rFonts w:asciiTheme="minorHAnsi" w:hAnsiTheme="minorHAnsi" w:cstheme="minorHAnsi"/>
        </w:rPr>
        <w:t xml:space="preserve">. Compounding the issue </w:t>
      </w:r>
      <w:r w:rsidR="009C40E8">
        <w:rPr>
          <w:rFonts w:asciiTheme="minorHAnsi" w:hAnsiTheme="minorHAnsi" w:cstheme="minorHAnsi"/>
        </w:rPr>
        <w:t xml:space="preserve">is that DHS needs information reported by a certain date for expenses from the 9-30-2020 cost report year to be eligible for </w:t>
      </w:r>
      <w:r w:rsidR="00955C0B">
        <w:rPr>
          <w:rFonts w:asciiTheme="minorHAnsi" w:hAnsiTheme="minorHAnsi" w:cstheme="minorHAnsi"/>
        </w:rPr>
        <w:t xml:space="preserve">12A.10 payment. </w:t>
      </w:r>
      <w:r w:rsidR="00915762">
        <w:rPr>
          <w:rFonts w:asciiTheme="minorHAnsi" w:hAnsiTheme="minorHAnsi" w:cstheme="minorHAnsi"/>
        </w:rPr>
        <w:t>Since</w:t>
      </w:r>
      <w:r w:rsidR="00955C0B">
        <w:rPr>
          <w:rFonts w:asciiTheme="minorHAnsi" w:hAnsiTheme="minorHAnsi" w:cstheme="minorHAnsi"/>
        </w:rPr>
        <w:t xml:space="preserve"> the federal government has not yet issued their </w:t>
      </w:r>
      <w:r w:rsidR="00D55FC5">
        <w:rPr>
          <w:rFonts w:asciiTheme="minorHAnsi" w:hAnsiTheme="minorHAnsi" w:cstheme="minorHAnsi"/>
        </w:rPr>
        <w:t>report</w:t>
      </w:r>
      <w:r w:rsidR="00915762">
        <w:rPr>
          <w:rFonts w:asciiTheme="minorHAnsi" w:hAnsiTheme="minorHAnsi" w:cstheme="minorHAnsi"/>
        </w:rPr>
        <w:t xml:space="preserve">ing </w:t>
      </w:r>
      <w:r w:rsidR="00D55FC5">
        <w:rPr>
          <w:rFonts w:asciiTheme="minorHAnsi" w:hAnsiTheme="minorHAnsi" w:cstheme="minorHAnsi"/>
        </w:rPr>
        <w:t>instruction</w:t>
      </w:r>
      <w:r w:rsidR="00915762">
        <w:rPr>
          <w:rFonts w:asciiTheme="minorHAnsi" w:hAnsiTheme="minorHAnsi" w:cstheme="minorHAnsi"/>
        </w:rPr>
        <w:t>s</w:t>
      </w:r>
      <w:r w:rsidR="00D55FC5">
        <w:rPr>
          <w:rFonts w:asciiTheme="minorHAnsi" w:hAnsiTheme="minorHAnsi" w:cstheme="minorHAnsi"/>
        </w:rPr>
        <w:t xml:space="preserve">, nursing facilities are concerned that </w:t>
      </w:r>
      <w:r w:rsidR="00915762">
        <w:rPr>
          <w:rFonts w:asciiTheme="minorHAnsi" w:hAnsiTheme="minorHAnsi" w:cstheme="minorHAnsi"/>
        </w:rPr>
        <w:t>they</w:t>
      </w:r>
      <w:r w:rsidR="00D55FC5">
        <w:rPr>
          <w:rFonts w:asciiTheme="minorHAnsi" w:hAnsiTheme="minorHAnsi" w:cstheme="minorHAnsi"/>
        </w:rPr>
        <w:t xml:space="preserve"> might expend </w:t>
      </w:r>
      <w:r w:rsidR="00B20D2A">
        <w:rPr>
          <w:rFonts w:asciiTheme="minorHAnsi" w:hAnsiTheme="minorHAnsi" w:cstheme="minorHAnsi"/>
        </w:rPr>
        <w:t xml:space="preserve">resources that the federal government </w:t>
      </w:r>
      <w:r w:rsidR="00915762">
        <w:rPr>
          <w:rFonts w:asciiTheme="minorHAnsi" w:hAnsiTheme="minorHAnsi" w:cstheme="minorHAnsi"/>
        </w:rPr>
        <w:t>rejects</w:t>
      </w:r>
      <w:r w:rsidR="000059F7">
        <w:rPr>
          <w:rFonts w:asciiTheme="minorHAnsi" w:hAnsiTheme="minorHAnsi" w:cstheme="minorHAnsi"/>
        </w:rPr>
        <w:t xml:space="preserve">, </w:t>
      </w:r>
      <w:r w:rsidR="00915762">
        <w:rPr>
          <w:rFonts w:asciiTheme="minorHAnsi" w:hAnsiTheme="minorHAnsi" w:cstheme="minorHAnsi"/>
        </w:rPr>
        <w:t xml:space="preserve">leaving them with no way to access state funding because of the </w:t>
      </w:r>
      <w:r w:rsidR="00197699">
        <w:rPr>
          <w:rFonts w:asciiTheme="minorHAnsi" w:hAnsiTheme="minorHAnsi" w:cstheme="minorHAnsi"/>
        </w:rPr>
        <w:t>deadline for 12A.10 requests for the 9-30-2020 year</w:t>
      </w:r>
      <w:r w:rsidR="00B15044">
        <w:rPr>
          <w:rFonts w:asciiTheme="minorHAnsi" w:hAnsiTheme="minorHAnsi" w:cstheme="minorHAnsi"/>
        </w:rPr>
        <w:t>.</w:t>
      </w:r>
    </w:p>
    <w:p w14:paraId="4AC92619" w14:textId="77777777" w:rsidR="00030158" w:rsidRDefault="00030158" w:rsidP="0080314C">
      <w:pPr>
        <w:rPr>
          <w:rFonts w:asciiTheme="minorHAnsi" w:hAnsiTheme="minorHAnsi" w:cstheme="minorHAnsi"/>
        </w:rPr>
      </w:pPr>
    </w:p>
    <w:p w14:paraId="254E288D" w14:textId="74D11595" w:rsidR="007F2809" w:rsidRDefault="007F0E07" w:rsidP="0080314C">
      <w:pPr>
        <w:rPr>
          <w:rFonts w:asciiTheme="minorHAnsi" w:hAnsiTheme="minorHAnsi" w:cstheme="minorHAnsi"/>
        </w:rPr>
      </w:pPr>
      <w:r w:rsidRPr="00B06908">
        <w:rPr>
          <w:rFonts w:asciiTheme="minorHAnsi" w:hAnsiTheme="minorHAnsi" w:cstheme="minorHAnsi"/>
          <w:noProof/>
          <w:color w:val="FF0000"/>
        </w:rPr>
        <w:drawing>
          <wp:inline distT="0" distB="0" distL="0" distR="0" wp14:anchorId="1435DB69" wp14:editId="343A0145">
            <wp:extent cx="5915025" cy="828675"/>
            <wp:effectExtent l="0" t="0" r="28575" b="9525"/>
            <wp:docPr id="20" name="Diagram 20"/>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89E16B6" w14:textId="77777777" w:rsidR="007F2809" w:rsidRDefault="007F2809" w:rsidP="0080314C">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1790"/>
      </w:tblGrid>
      <w:tr w:rsidR="00FD435A" w:rsidRPr="00D45E0E" w14:paraId="1EDF7C18" w14:textId="77777777" w:rsidTr="00D45E0E">
        <w:tc>
          <w:tcPr>
            <w:tcW w:w="7560" w:type="dxa"/>
          </w:tcPr>
          <w:p w14:paraId="7000094A" w14:textId="77777777" w:rsidR="00FD435A" w:rsidRPr="00B77BE0" w:rsidRDefault="00FD435A" w:rsidP="00E54005">
            <w:pPr>
              <w:rPr>
                <w:rFonts w:asciiTheme="minorHAnsi" w:hAnsiTheme="minorHAnsi" w:cstheme="minorHAnsi"/>
                <w:b/>
                <w:bCs/>
                <w:color w:val="auto"/>
                <w:sz w:val="28"/>
                <w:szCs w:val="28"/>
              </w:rPr>
            </w:pPr>
            <w:r w:rsidRPr="00B77BE0">
              <w:rPr>
                <w:rFonts w:asciiTheme="minorHAnsi" w:hAnsiTheme="minorHAnsi" w:cstheme="minorHAnsi"/>
                <w:b/>
                <w:bCs/>
                <w:color w:val="0070C0"/>
                <w:sz w:val="24"/>
                <w:szCs w:val="24"/>
              </w:rPr>
              <w:t>Nursing facilities will exit the pandemic with many challenges including:</w:t>
            </w:r>
          </w:p>
        </w:tc>
        <w:tc>
          <w:tcPr>
            <w:tcW w:w="1790" w:type="dxa"/>
            <w:vMerge w:val="restart"/>
          </w:tcPr>
          <w:p w14:paraId="70080437" w14:textId="77777777" w:rsidR="00FD435A" w:rsidRPr="00D45E0E" w:rsidRDefault="00FD435A" w:rsidP="00E54005">
            <w:pPr>
              <w:pStyle w:val="ListParagraph"/>
              <w:numPr>
                <w:ilvl w:val="0"/>
                <w:numId w:val="15"/>
              </w:numPr>
              <w:spacing w:after="240"/>
              <w:contextualSpacing w:val="0"/>
              <w:rPr>
                <w:rFonts w:asciiTheme="minorHAnsi" w:hAnsiTheme="minorHAnsi" w:cstheme="minorHAnsi"/>
                <w:color w:val="auto"/>
                <w:sz w:val="24"/>
                <w:szCs w:val="24"/>
              </w:rPr>
            </w:pPr>
            <w:r w:rsidRPr="00D45E0E">
              <w:rPr>
                <w:rFonts w:asciiTheme="minorHAnsi" w:hAnsiTheme="minorHAnsi" w:cstheme="minorHAnsi"/>
                <w:color w:val="auto"/>
                <w:sz w:val="24"/>
                <w:szCs w:val="24"/>
              </w:rPr>
              <w:t>Workforce</w:t>
            </w:r>
          </w:p>
          <w:p w14:paraId="7698E6B6" w14:textId="77777777" w:rsidR="00E54005" w:rsidRPr="00D45E0E" w:rsidRDefault="00FD435A" w:rsidP="00E54005">
            <w:pPr>
              <w:pStyle w:val="ListParagraph"/>
              <w:numPr>
                <w:ilvl w:val="0"/>
                <w:numId w:val="15"/>
              </w:numPr>
              <w:spacing w:after="240"/>
              <w:contextualSpacing w:val="0"/>
              <w:rPr>
                <w:rFonts w:asciiTheme="minorHAnsi" w:hAnsiTheme="minorHAnsi" w:cstheme="minorHAnsi"/>
                <w:color w:val="auto"/>
                <w:sz w:val="24"/>
                <w:szCs w:val="24"/>
              </w:rPr>
            </w:pPr>
            <w:r w:rsidRPr="00D45E0E">
              <w:rPr>
                <w:rFonts w:asciiTheme="minorHAnsi" w:hAnsiTheme="minorHAnsi" w:cstheme="minorHAnsi"/>
                <w:color w:val="auto"/>
                <w:sz w:val="24"/>
                <w:szCs w:val="24"/>
              </w:rPr>
              <w:t>Decreased census</w:t>
            </w:r>
          </w:p>
          <w:p w14:paraId="24605667" w14:textId="3167CFBA" w:rsidR="00FD435A" w:rsidRPr="00D45E0E" w:rsidRDefault="00FD435A" w:rsidP="00E54005">
            <w:pPr>
              <w:pStyle w:val="ListParagraph"/>
              <w:numPr>
                <w:ilvl w:val="0"/>
                <w:numId w:val="15"/>
              </w:numPr>
              <w:spacing w:after="240"/>
              <w:contextualSpacing w:val="0"/>
              <w:rPr>
                <w:rFonts w:asciiTheme="minorHAnsi" w:hAnsiTheme="minorHAnsi" w:cstheme="minorHAnsi"/>
                <w:color w:val="auto"/>
                <w:sz w:val="24"/>
                <w:szCs w:val="24"/>
              </w:rPr>
            </w:pPr>
            <w:r w:rsidRPr="00D45E0E">
              <w:rPr>
                <w:rFonts w:asciiTheme="minorHAnsi" w:hAnsiTheme="minorHAnsi" w:cstheme="minorHAnsi"/>
                <w:color w:val="auto"/>
                <w:sz w:val="24"/>
                <w:szCs w:val="24"/>
              </w:rPr>
              <w:t>Altered payer mix</w:t>
            </w:r>
          </w:p>
        </w:tc>
      </w:tr>
      <w:tr w:rsidR="00FD435A" w:rsidRPr="00D45E0E" w14:paraId="1F73D7FD" w14:textId="77777777" w:rsidTr="00D45E0E">
        <w:trPr>
          <w:trHeight w:val="861"/>
        </w:trPr>
        <w:tc>
          <w:tcPr>
            <w:tcW w:w="7560" w:type="dxa"/>
          </w:tcPr>
          <w:p w14:paraId="3DD82FF8" w14:textId="46D9A35A" w:rsidR="00FD435A" w:rsidRPr="007161F3" w:rsidRDefault="00FD435A" w:rsidP="00FD435A">
            <w:pPr>
              <w:pStyle w:val="ListParagraph"/>
              <w:ind w:left="0"/>
              <w:rPr>
                <w:rFonts w:asciiTheme="minorHAnsi" w:hAnsiTheme="minorHAnsi" w:cstheme="minorHAnsi"/>
                <w:color w:val="auto"/>
              </w:rPr>
            </w:pPr>
            <w:r w:rsidRPr="0080534A">
              <w:rPr>
                <w:rFonts w:asciiTheme="minorHAnsi" w:hAnsiTheme="minorHAnsi" w:cstheme="minorHAnsi"/>
                <w:noProof/>
              </w:rPr>
              <w:drawing>
                <wp:inline distT="0" distB="0" distL="0" distR="0" wp14:anchorId="265C8A77" wp14:editId="65BE41E4">
                  <wp:extent cx="3840480" cy="2286000"/>
                  <wp:effectExtent l="19050" t="19050" r="26670" b="19050"/>
                  <wp:docPr id="6" name="Picture 3">
                    <a:extLst xmlns:a="http://schemas.openxmlformats.org/drawingml/2006/main">
                      <a:ext uri="{FF2B5EF4-FFF2-40B4-BE49-F238E27FC236}">
                        <a16:creationId xmlns:a16="http://schemas.microsoft.com/office/drawing/2014/main" id="{4DDE936C-15C9-4626-8D91-56A98E19D6E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DDE936C-15C9-4626-8D91-56A98E19D6EB}"/>
                              </a:ext>
                            </a:extLst>
                          </pic:cNvPr>
                          <pic:cNvPicPr>
                            <a:picLocks noChangeAspect="1"/>
                          </pic:cNvPicPr>
                        </pic:nvPicPr>
                        <pic:blipFill>
                          <a:blip r:embed="rId45"/>
                          <a:stretch>
                            <a:fillRect/>
                          </a:stretch>
                        </pic:blipFill>
                        <pic:spPr>
                          <a:xfrm>
                            <a:off x="0" y="0"/>
                            <a:ext cx="3840480" cy="2286000"/>
                          </a:xfrm>
                          <a:prstGeom prst="rect">
                            <a:avLst/>
                          </a:prstGeom>
                          <a:ln>
                            <a:solidFill>
                              <a:srgbClr val="FF0000"/>
                            </a:solidFill>
                          </a:ln>
                        </pic:spPr>
                      </pic:pic>
                    </a:graphicData>
                  </a:graphic>
                </wp:inline>
              </w:drawing>
            </w:r>
          </w:p>
        </w:tc>
        <w:tc>
          <w:tcPr>
            <w:tcW w:w="1790" w:type="dxa"/>
            <w:vMerge/>
          </w:tcPr>
          <w:p w14:paraId="7EA873EA" w14:textId="5A4CAAFA" w:rsidR="00FD435A" w:rsidRPr="00D45E0E" w:rsidRDefault="00FD435A" w:rsidP="00FD435A">
            <w:pPr>
              <w:pStyle w:val="ListParagraph"/>
              <w:numPr>
                <w:ilvl w:val="0"/>
                <w:numId w:val="15"/>
              </w:numPr>
              <w:rPr>
                <w:rFonts w:asciiTheme="minorHAnsi" w:hAnsiTheme="minorHAnsi" w:cstheme="minorHAnsi"/>
                <w:color w:val="auto"/>
                <w:sz w:val="24"/>
                <w:szCs w:val="24"/>
              </w:rPr>
            </w:pPr>
          </w:p>
        </w:tc>
      </w:tr>
    </w:tbl>
    <w:p w14:paraId="260FAA4D" w14:textId="7DFAE78E" w:rsidR="00C841F0" w:rsidRDefault="00C841F0" w:rsidP="00C841F0">
      <w:pPr>
        <w:rPr>
          <w:rFonts w:asciiTheme="minorHAnsi" w:hAnsiTheme="minorHAnsi" w:cstheme="minorHAnsi"/>
          <w:color w:val="auto"/>
        </w:rPr>
      </w:pPr>
    </w:p>
    <w:p w14:paraId="1C64EDE0" w14:textId="08F1B00B" w:rsidR="00C841F0" w:rsidRPr="00993379" w:rsidRDefault="009059BE" w:rsidP="00C841F0">
      <w:pPr>
        <w:rPr>
          <w:rFonts w:asciiTheme="minorHAnsi" w:hAnsiTheme="minorHAnsi" w:cstheme="minorHAnsi"/>
          <w:color w:val="auto"/>
        </w:rPr>
      </w:pPr>
      <w:r w:rsidRPr="00993379">
        <w:rPr>
          <w:rFonts w:asciiTheme="minorHAnsi" w:hAnsiTheme="minorHAnsi" w:cstheme="minorHAnsi"/>
          <w:color w:val="auto"/>
        </w:rPr>
        <w:t xml:space="preserve">Minnesota nursing facility payment system </w:t>
      </w:r>
      <w:r w:rsidR="00D02341" w:rsidRPr="00993379">
        <w:rPr>
          <w:rFonts w:asciiTheme="minorHAnsi" w:hAnsiTheme="minorHAnsi" w:cstheme="minorHAnsi"/>
          <w:color w:val="auto"/>
        </w:rPr>
        <w:t>needs to focus on the goa</w:t>
      </w:r>
      <w:r w:rsidR="000468C2" w:rsidRPr="00993379">
        <w:rPr>
          <w:rFonts w:asciiTheme="minorHAnsi" w:hAnsiTheme="minorHAnsi" w:cstheme="minorHAnsi"/>
          <w:color w:val="auto"/>
        </w:rPr>
        <w:t xml:space="preserve">l of </w:t>
      </w:r>
      <w:r w:rsidR="00205A0F" w:rsidRPr="00993379">
        <w:rPr>
          <w:rFonts w:asciiTheme="minorHAnsi" w:hAnsiTheme="minorHAnsi" w:cstheme="minorHAnsi"/>
          <w:color w:val="auto"/>
        </w:rPr>
        <w:t>maintaining access to</w:t>
      </w:r>
      <w:r w:rsidR="000468C2" w:rsidRPr="00993379">
        <w:rPr>
          <w:rFonts w:asciiTheme="minorHAnsi" w:hAnsiTheme="minorHAnsi" w:cstheme="minorHAnsi"/>
          <w:color w:val="auto"/>
        </w:rPr>
        <w:t xml:space="preserve"> services via reimbursement rates that </w:t>
      </w:r>
      <w:r w:rsidR="00205A0F" w:rsidRPr="00993379">
        <w:rPr>
          <w:rFonts w:asciiTheme="minorHAnsi" w:hAnsiTheme="minorHAnsi" w:cstheme="minorHAnsi"/>
          <w:color w:val="auto"/>
        </w:rPr>
        <w:t>are adequate to achieve that goal.</w:t>
      </w:r>
    </w:p>
    <w:p w14:paraId="3AFB4C8B" w14:textId="77777777" w:rsidR="00205A0F" w:rsidRPr="00993379" w:rsidRDefault="00205A0F" w:rsidP="00C841F0">
      <w:pPr>
        <w:rPr>
          <w:rFonts w:asciiTheme="minorHAnsi" w:hAnsiTheme="minorHAnsi" w:cstheme="minorHAnsi"/>
          <w:color w:val="auto"/>
        </w:rPr>
      </w:pPr>
    </w:p>
    <w:p w14:paraId="369550DE" w14:textId="15A8663B" w:rsidR="007448EB" w:rsidRDefault="002A376F" w:rsidP="0080314C">
      <w:pPr>
        <w:rPr>
          <w:rFonts w:asciiTheme="minorHAnsi" w:hAnsiTheme="minorHAnsi" w:cstheme="minorHAnsi"/>
        </w:rPr>
      </w:pPr>
      <w:r>
        <w:rPr>
          <w:rFonts w:asciiTheme="minorHAnsi" w:hAnsiTheme="minorHAnsi" w:cstheme="minorHAnsi"/>
          <w:noProof/>
        </w:rPr>
        <w:drawing>
          <wp:inline distT="0" distB="0" distL="0" distR="0" wp14:anchorId="6016F680" wp14:editId="78BACE08">
            <wp:extent cx="5934075" cy="2743200"/>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866AB0A" w14:textId="15BC9506" w:rsidR="0080534A" w:rsidRDefault="0080534A" w:rsidP="0080314C">
      <w:pPr>
        <w:rPr>
          <w:rFonts w:asciiTheme="minorHAnsi" w:hAnsiTheme="minorHAnsi" w:cstheme="minorHAnsi"/>
        </w:rPr>
      </w:pPr>
    </w:p>
    <w:p w14:paraId="7EADBA5A" w14:textId="69D31138" w:rsidR="0080534A" w:rsidRDefault="0080534A" w:rsidP="0080314C">
      <w:pPr>
        <w:rPr>
          <w:rFonts w:asciiTheme="minorHAnsi" w:hAnsiTheme="minorHAnsi" w:cstheme="minorHAnsi"/>
        </w:rPr>
      </w:pPr>
    </w:p>
    <w:p w14:paraId="61487B5E" w14:textId="34B19FD0" w:rsidR="0080534A" w:rsidRDefault="0080534A" w:rsidP="0080314C">
      <w:pPr>
        <w:rPr>
          <w:rFonts w:asciiTheme="minorHAnsi" w:hAnsiTheme="minorHAnsi" w:cstheme="minorHAnsi"/>
        </w:rPr>
      </w:pPr>
    </w:p>
    <w:p w14:paraId="1D4CC029" w14:textId="098BFA57" w:rsidR="0080534A" w:rsidRDefault="0080534A" w:rsidP="0080314C">
      <w:pPr>
        <w:rPr>
          <w:rFonts w:asciiTheme="minorHAnsi" w:hAnsiTheme="minorHAnsi" w:cstheme="minorHAnsi"/>
        </w:rPr>
      </w:pPr>
    </w:p>
    <w:p w14:paraId="4C0D47E0" w14:textId="4A62D782" w:rsidR="003C0A6D" w:rsidRDefault="003C0A6D" w:rsidP="0080314C">
      <w:pPr>
        <w:rPr>
          <w:rFonts w:asciiTheme="minorHAnsi" w:hAnsiTheme="minorHAnsi" w:cstheme="minorHAnsi"/>
        </w:rPr>
      </w:pPr>
    </w:p>
    <w:p w14:paraId="58777C0D" w14:textId="51932968" w:rsidR="0080534A" w:rsidRDefault="005341FF">
      <w:pPr>
        <w:rPr>
          <w:rFonts w:asciiTheme="minorHAnsi" w:hAnsiTheme="minorHAnsi" w:cstheme="minorHAnsi"/>
        </w:rPr>
      </w:pPr>
      <w:r>
        <w:rPr>
          <w:rFonts w:asciiTheme="minorHAnsi" w:hAnsiTheme="minorHAnsi" w:cstheme="minorHAnsi"/>
        </w:rPr>
        <w:br w:type="page"/>
      </w:r>
    </w:p>
    <w:p w14:paraId="695AC712" w14:textId="77777777" w:rsidR="003C0A6D" w:rsidRDefault="003C0A6D" w:rsidP="0080314C">
      <w:pPr>
        <w:rPr>
          <w:rFonts w:asciiTheme="minorHAnsi" w:hAnsiTheme="minorHAnsi" w:cstheme="minorHAnsi"/>
        </w:rPr>
      </w:pPr>
    </w:p>
    <w:p w14:paraId="01ED8766" w14:textId="19485545" w:rsidR="00205A0F" w:rsidRDefault="00205A0F" w:rsidP="0023786E">
      <w:pPr>
        <w:kinsoku w:val="0"/>
        <w:overflowPunct w:val="0"/>
        <w:autoSpaceDE w:val="0"/>
        <w:autoSpaceDN w:val="0"/>
        <w:adjustRightInd w:val="0"/>
        <w:ind w:left="43"/>
        <w:rPr>
          <w:rFonts w:asciiTheme="minorHAnsi" w:hAnsiTheme="minorHAnsi" w:cs="Times New Roman"/>
          <w:b/>
          <w:bCs/>
          <w:color w:val="002060"/>
        </w:rPr>
      </w:pPr>
      <w:bookmarkStart w:id="1" w:name="Sec._12A.10"/>
      <w:bookmarkStart w:id="2" w:name="Subd._1"/>
      <w:bookmarkEnd w:id="1"/>
      <w:bookmarkEnd w:id="2"/>
      <w:r>
        <w:rPr>
          <w:rFonts w:asciiTheme="minorHAnsi" w:hAnsiTheme="minorHAnsi" w:cs="Times New Roman"/>
          <w:b/>
          <w:bCs/>
          <w:color w:val="002060"/>
        </w:rPr>
        <w:t>BACKGROUND ON STATE EMERGENCY FUND FOR NURSING FACILITIES:</w:t>
      </w:r>
    </w:p>
    <w:p w14:paraId="356D779D" w14:textId="77777777" w:rsidR="00205A0F" w:rsidRDefault="00205A0F" w:rsidP="0023786E">
      <w:pPr>
        <w:kinsoku w:val="0"/>
        <w:overflowPunct w:val="0"/>
        <w:autoSpaceDE w:val="0"/>
        <w:autoSpaceDN w:val="0"/>
        <w:adjustRightInd w:val="0"/>
        <w:ind w:left="43"/>
        <w:rPr>
          <w:rFonts w:asciiTheme="minorHAnsi" w:hAnsiTheme="minorHAnsi" w:cs="Times New Roman"/>
          <w:b/>
          <w:bCs/>
          <w:color w:val="002060"/>
        </w:rPr>
      </w:pPr>
    </w:p>
    <w:p w14:paraId="749F0CFB" w14:textId="10700B48" w:rsidR="0023786E" w:rsidRPr="003C0A6D" w:rsidRDefault="003C0A6D" w:rsidP="0023786E">
      <w:pPr>
        <w:kinsoku w:val="0"/>
        <w:overflowPunct w:val="0"/>
        <w:autoSpaceDE w:val="0"/>
        <w:autoSpaceDN w:val="0"/>
        <w:adjustRightInd w:val="0"/>
        <w:ind w:left="43"/>
        <w:rPr>
          <w:rFonts w:asciiTheme="minorHAnsi" w:hAnsiTheme="minorHAnsi" w:cs="Times New Roman"/>
          <w:b/>
          <w:bCs/>
          <w:color w:val="002060"/>
        </w:rPr>
      </w:pPr>
      <w:r w:rsidRPr="003C0A6D">
        <w:rPr>
          <w:rFonts w:asciiTheme="minorHAnsi" w:hAnsiTheme="minorHAnsi" w:cs="Times New Roman"/>
          <w:b/>
          <w:bCs/>
          <w:color w:val="002060"/>
        </w:rPr>
        <w:t xml:space="preserve">MINNESOTA STATUTES </w:t>
      </w:r>
      <w:r w:rsidR="0023786E" w:rsidRPr="003C0A6D">
        <w:rPr>
          <w:rFonts w:asciiTheme="minorHAnsi" w:hAnsiTheme="minorHAnsi" w:cs="Times New Roman"/>
          <w:b/>
          <w:bCs/>
          <w:color w:val="002060"/>
        </w:rPr>
        <w:t>12A.10 HUMAN SERVICES.</w:t>
      </w:r>
    </w:p>
    <w:p w14:paraId="14C1F0FF" w14:textId="2B3D0856" w:rsidR="0023786E" w:rsidRDefault="0023786E" w:rsidP="0023786E">
      <w:pPr>
        <w:kinsoku w:val="0"/>
        <w:overflowPunct w:val="0"/>
        <w:autoSpaceDE w:val="0"/>
        <w:autoSpaceDN w:val="0"/>
        <w:adjustRightInd w:val="0"/>
        <w:ind w:left="43"/>
        <w:rPr>
          <w:rFonts w:asciiTheme="minorHAnsi" w:hAnsiTheme="minorHAnsi" w:cs="Times New Roman"/>
        </w:rPr>
      </w:pPr>
      <w:r w:rsidRPr="0023786E">
        <w:rPr>
          <w:rFonts w:asciiTheme="minorHAnsi" w:hAnsiTheme="minorHAnsi" w:cs="Times New Roman"/>
        </w:rPr>
        <w:t>Subdivision 1.</w:t>
      </w:r>
      <w:r>
        <w:rPr>
          <w:rFonts w:asciiTheme="minorHAnsi" w:hAnsiTheme="minorHAnsi" w:cs="Times New Roman"/>
        </w:rPr>
        <w:t xml:space="preserve"> </w:t>
      </w:r>
      <w:r w:rsidRPr="0023786E">
        <w:rPr>
          <w:rFonts w:asciiTheme="minorHAnsi" w:hAnsiTheme="minorHAnsi" w:cs="Times New Roman"/>
        </w:rPr>
        <w:t>Costs eligible for payment.</w:t>
      </w:r>
      <w:r>
        <w:rPr>
          <w:rFonts w:asciiTheme="minorHAnsi" w:hAnsiTheme="minorHAnsi" w:cs="Times New Roman"/>
        </w:rPr>
        <w:t xml:space="preserve"> </w:t>
      </w:r>
      <w:r w:rsidRPr="0023786E">
        <w:rPr>
          <w:rFonts w:asciiTheme="minorHAnsi" w:hAnsiTheme="minorHAnsi" w:cs="Times New Roman"/>
        </w:rPr>
        <w:t>As used in this section, "commissioner" means the commissioner of human services. Notwithstanding the limitations of section 12A.01 and the requirement in section 12A.03 that all appropriations must be used to assist with recovery, the commissioner may pay parties under contract, provider agreement, or other arrangement with the commissioner as of the date of a natural disaster, or the date when action was taken in anticipation of a possible natural disaster or other event that threatens the health and safety of individuals served by a program that receives funding from medical assistance for the costs of evacuation, transportation, medical, remedial, or personal care services provided to vulnerable residents. Costs eligible for payment under this section are those necessary to ensure the health and safety of medical assistance recipients during and up to 60 days following the disaster. Only costs that are not already paid for by another source are eligible. The commissioner may make payments for documented incremental costs incurred by a party, may determine an estimate of the costs at the sole discretion of the commissioner, or may use a combination of these two methods. If after receiving payment from the commissioner for a documented cost, the provider is able to acquire payment from another source for that cost, the provider shall reimburse the commissioner in the amount paid.</w:t>
      </w:r>
    </w:p>
    <w:p w14:paraId="4EFE78E7" w14:textId="77777777" w:rsidR="0023786E" w:rsidRPr="0023786E" w:rsidRDefault="0023786E" w:rsidP="0023786E">
      <w:pPr>
        <w:kinsoku w:val="0"/>
        <w:overflowPunct w:val="0"/>
        <w:autoSpaceDE w:val="0"/>
        <w:autoSpaceDN w:val="0"/>
        <w:adjustRightInd w:val="0"/>
        <w:ind w:left="43"/>
        <w:rPr>
          <w:rFonts w:asciiTheme="minorHAnsi" w:hAnsiTheme="minorHAnsi" w:cs="Times New Roman"/>
        </w:rPr>
      </w:pPr>
    </w:p>
    <w:p w14:paraId="6F472B32" w14:textId="2F11A7D9" w:rsidR="0023786E" w:rsidRDefault="0023786E" w:rsidP="0023786E">
      <w:pPr>
        <w:kinsoku w:val="0"/>
        <w:overflowPunct w:val="0"/>
        <w:autoSpaceDE w:val="0"/>
        <w:autoSpaceDN w:val="0"/>
        <w:adjustRightInd w:val="0"/>
        <w:ind w:left="43"/>
        <w:rPr>
          <w:rFonts w:asciiTheme="minorHAnsi" w:hAnsiTheme="minorHAnsi" w:cs="Times New Roman"/>
        </w:rPr>
      </w:pPr>
      <w:r w:rsidRPr="0023786E">
        <w:rPr>
          <w:rFonts w:asciiTheme="minorHAnsi" w:hAnsiTheme="minorHAnsi" w:cs="Times New Roman"/>
        </w:rPr>
        <w:t>Subd. 2.</w:t>
      </w:r>
      <w:r w:rsidR="003C0A6D">
        <w:rPr>
          <w:rFonts w:asciiTheme="minorHAnsi" w:hAnsiTheme="minorHAnsi" w:cs="Times New Roman"/>
        </w:rPr>
        <w:t xml:space="preserve"> </w:t>
      </w:r>
      <w:r w:rsidRPr="0023786E">
        <w:rPr>
          <w:rFonts w:asciiTheme="minorHAnsi" w:hAnsiTheme="minorHAnsi" w:cs="Times New Roman"/>
        </w:rPr>
        <w:t>Payment in residential program.</w:t>
      </w:r>
      <w:r w:rsidR="003C0A6D">
        <w:rPr>
          <w:rFonts w:asciiTheme="minorHAnsi" w:hAnsiTheme="minorHAnsi" w:cs="Times New Roman"/>
        </w:rPr>
        <w:t xml:space="preserve"> </w:t>
      </w:r>
      <w:r w:rsidRPr="0023786E">
        <w:rPr>
          <w:rFonts w:asciiTheme="minorHAnsi" w:hAnsiTheme="minorHAnsi" w:cs="Times New Roman"/>
        </w:rPr>
        <w:t>In a residential program, the commissioner shall make payment under this section based on an allocation of costs as determined under subdivision 1 between medical assistance recipients and all other residents. The allocation must not be done in a nursing facility. In a nursing facility the commissioner shall pay all of the costs determined under subdivision 1.</w:t>
      </w:r>
    </w:p>
    <w:p w14:paraId="76113924" w14:textId="77777777" w:rsidR="0023786E" w:rsidRPr="0023786E" w:rsidRDefault="0023786E" w:rsidP="0023786E">
      <w:pPr>
        <w:kinsoku w:val="0"/>
        <w:overflowPunct w:val="0"/>
        <w:autoSpaceDE w:val="0"/>
        <w:autoSpaceDN w:val="0"/>
        <w:adjustRightInd w:val="0"/>
        <w:ind w:left="43"/>
        <w:rPr>
          <w:rFonts w:asciiTheme="minorHAnsi" w:hAnsiTheme="minorHAnsi" w:cs="Times New Roman"/>
        </w:rPr>
      </w:pPr>
    </w:p>
    <w:p w14:paraId="1850FEB9" w14:textId="48C90AAE" w:rsidR="0023786E" w:rsidRDefault="0023786E" w:rsidP="0023786E">
      <w:pPr>
        <w:kinsoku w:val="0"/>
        <w:overflowPunct w:val="0"/>
        <w:autoSpaceDE w:val="0"/>
        <w:autoSpaceDN w:val="0"/>
        <w:adjustRightInd w:val="0"/>
        <w:ind w:left="43"/>
        <w:rPr>
          <w:rFonts w:asciiTheme="minorHAnsi" w:hAnsiTheme="minorHAnsi" w:cs="Times New Roman"/>
        </w:rPr>
      </w:pPr>
      <w:r w:rsidRPr="0023786E">
        <w:rPr>
          <w:rFonts w:asciiTheme="minorHAnsi" w:hAnsiTheme="minorHAnsi" w:cs="Times New Roman"/>
        </w:rPr>
        <w:t>Subd. 3.</w:t>
      </w:r>
      <w:r w:rsidR="003C0A6D">
        <w:rPr>
          <w:rFonts w:asciiTheme="minorHAnsi" w:hAnsiTheme="minorHAnsi" w:cs="Times New Roman"/>
        </w:rPr>
        <w:t xml:space="preserve"> </w:t>
      </w:r>
      <w:r w:rsidRPr="0023786E">
        <w:rPr>
          <w:rFonts w:asciiTheme="minorHAnsi" w:hAnsiTheme="minorHAnsi" w:cs="Times New Roman"/>
        </w:rPr>
        <w:t>Source of payment.</w:t>
      </w:r>
      <w:r w:rsidR="003C0A6D">
        <w:rPr>
          <w:rFonts w:asciiTheme="minorHAnsi" w:hAnsiTheme="minorHAnsi" w:cs="Times New Roman"/>
        </w:rPr>
        <w:t xml:space="preserve"> </w:t>
      </w:r>
      <w:r w:rsidRPr="0023786E">
        <w:rPr>
          <w:rFonts w:asciiTheme="minorHAnsi" w:hAnsiTheme="minorHAnsi" w:cs="Times New Roman"/>
        </w:rPr>
        <w:t>The commissioner shall pay costs under this section using money appropriated for medical assistance and shall seek federal cost sharing to the extent permitted under the Medicaid state plan or under waivers granted by the federal Centers for Medicare and Medicaid Services.</w:t>
      </w:r>
    </w:p>
    <w:p w14:paraId="1DC0C982" w14:textId="77777777" w:rsidR="0023786E" w:rsidRPr="0023786E" w:rsidRDefault="0023786E" w:rsidP="0023786E">
      <w:pPr>
        <w:kinsoku w:val="0"/>
        <w:overflowPunct w:val="0"/>
        <w:autoSpaceDE w:val="0"/>
        <w:autoSpaceDN w:val="0"/>
        <w:adjustRightInd w:val="0"/>
        <w:ind w:left="43"/>
        <w:rPr>
          <w:rFonts w:asciiTheme="minorHAnsi" w:hAnsiTheme="minorHAnsi" w:cs="Times New Roman"/>
        </w:rPr>
      </w:pPr>
    </w:p>
    <w:p w14:paraId="6D5FA2D2" w14:textId="5BCBDE16" w:rsidR="00211403" w:rsidRDefault="0023786E" w:rsidP="0023786E">
      <w:pPr>
        <w:kinsoku w:val="0"/>
        <w:overflowPunct w:val="0"/>
        <w:autoSpaceDE w:val="0"/>
        <w:autoSpaceDN w:val="0"/>
        <w:adjustRightInd w:val="0"/>
        <w:ind w:left="43"/>
        <w:rPr>
          <w:rFonts w:asciiTheme="minorHAnsi" w:hAnsiTheme="minorHAnsi" w:cs="Times New Roman"/>
        </w:rPr>
      </w:pPr>
      <w:r w:rsidRPr="0023786E">
        <w:rPr>
          <w:rFonts w:asciiTheme="minorHAnsi" w:hAnsiTheme="minorHAnsi" w:cs="Times New Roman"/>
        </w:rPr>
        <w:t>Subd. 4.Nursing home bed layaway.</w:t>
      </w:r>
      <w:r w:rsidR="003C0A6D">
        <w:rPr>
          <w:rFonts w:asciiTheme="minorHAnsi" w:hAnsiTheme="minorHAnsi" w:cs="Times New Roman"/>
        </w:rPr>
        <w:t xml:space="preserve"> </w:t>
      </w:r>
      <w:r w:rsidRPr="0023786E">
        <w:rPr>
          <w:rFonts w:asciiTheme="minorHAnsi" w:hAnsiTheme="minorHAnsi" w:cs="Times New Roman"/>
        </w:rPr>
        <w:t>In consultation with the commissioner of human services, the commissioner of health may waive timelines specified in section 144A.071, subdivision 4b, at any time when a partial or complete evacuation occurs in response to a natural disaster, a possible natural disaster, or another event that threatens the health and safety of residents of a nursing home. For a nursing home placing beds in or removing them from layaway under this subdivision, property payment rates must not be adjusted.</w:t>
      </w:r>
    </w:p>
    <w:p w14:paraId="3713CC95" w14:textId="0B0BB748" w:rsidR="00FC6F0D" w:rsidRDefault="00FC6F0D" w:rsidP="0023786E">
      <w:pPr>
        <w:kinsoku w:val="0"/>
        <w:overflowPunct w:val="0"/>
        <w:autoSpaceDE w:val="0"/>
        <w:autoSpaceDN w:val="0"/>
        <w:adjustRightInd w:val="0"/>
        <w:ind w:left="43"/>
        <w:rPr>
          <w:rFonts w:asciiTheme="minorHAnsi" w:hAnsiTheme="minorHAnsi" w:cs="Times New Roman"/>
        </w:rPr>
      </w:pPr>
    </w:p>
    <w:p w14:paraId="5B82EF57" w14:textId="1676E276" w:rsidR="008175E6" w:rsidRPr="00566B90" w:rsidRDefault="008175E6" w:rsidP="0023786E">
      <w:pPr>
        <w:kinsoku w:val="0"/>
        <w:overflowPunct w:val="0"/>
        <w:autoSpaceDE w:val="0"/>
        <w:autoSpaceDN w:val="0"/>
        <w:adjustRightInd w:val="0"/>
        <w:ind w:left="43"/>
        <w:rPr>
          <w:rFonts w:asciiTheme="minorHAnsi" w:hAnsiTheme="minorHAnsi" w:cs="Times New Roman"/>
          <w:b/>
          <w:bCs/>
          <w:color w:val="002060"/>
        </w:rPr>
      </w:pPr>
      <w:r w:rsidRPr="00566B90">
        <w:rPr>
          <w:rFonts w:asciiTheme="minorHAnsi" w:hAnsiTheme="minorHAnsi" w:cs="Times New Roman"/>
          <w:b/>
          <w:bCs/>
          <w:color w:val="002060"/>
        </w:rPr>
        <w:t xml:space="preserve">Current DHS </w:t>
      </w:r>
      <w:r w:rsidR="00CE791E" w:rsidRPr="00566B90">
        <w:rPr>
          <w:rFonts w:asciiTheme="minorHAnsi" w:hAnsiTheme="minorHAnsi" w:cs="Times New Roman"/>
          <w:b/>
          <w:bCs/>
          <w:color w:val="002060"/>
        </w:rPr>
        <w:t>assumptions</w:t>
      </w:r>
      <w:r w:rsidRPr="00566B90">
        <w:rPr>
          <w:rFonts w:asciiTheme="minorHAnsi" w:hAnsiTheme="minorHAnsi" w:cs="Times New Roman"/>
          <w:b/>
          <w:bCs/>
          <w:color w:val="002060"/>
        </w:rPr>
        <w:t xml:space="preserve"> on </w:t>
      </w:r>
      <w:r w:rsidR="00CE791E" w:rsidRPr="00566B90">
        <w:rPr>
          <w:rFonts w:asciiTheme="minorHAnsi" w:hAnsiTheme="minorHAnsi" w:cs="Times New Roman"/>
          <w:b/>
          <w:bCs/>
          <w:color w:val="002060"/>
        </w:rPr>
        <w:t>12A.10:</w:t>
      </w:r>
    </w:p>
    <w:p w14:paraId="2B3E9044" w14:textId="77777777" w:rsidR="00CE791E" w:rsidRDefault="00FC6F0D" w:rsidP="00CE791E">
      <w:pPr>
        <w:pStyle w:val="ListParagraph"/>
        <w:numPr>
          <w:ilvl w:val="0"/>
          <w:numId w:val="8"/>
        </w:numPr>
        <w:rPr>
          <w:rFonts w:asciiTheme="minorHAnsi" w:hAnsiTheme="minorHAnsi" w:cstheme="minorHAnsi"/>
        </w:rPr>
      </w:pPr>
      <w:r w:rsidRPr="001A5685">
        <w:rPr>
          <w:rFonts w:asciiTheme="minorHAnsi" w:hAnsiTheme="minorHAnsi" w:cstheme="minorHAnsi"/>
        </w:rPr>
        <w:t>12A.10 is an authorized reimbursement program under the general Medicaid State Plan Amendment (SPA) authority.</w:t>
      </w:r>
    </w:p>
    <w:p w14:paraId="671C83CA" w14:textId="77777777" w:rsidR="00CE791E" w:rsidRDefault="00FC6F0D" w:rsidP="00CE791E">
      <w:pPr>
        <w:pStyle w:val="ListParagraph"/>
        <w:numPr>
          <w:ilvl w:val="0"/>
          <w:numId w:val="8"/>
        </w:numPr>
        <w:rPr>
          <w:rFonts w:asciiTheme="minorHAnsi" w:hAnsiTheme="minorHAnsi" w:cstheme="minorHAnsi"/>
        </w:rPr>
      </w:pPr>
      <w:r w:rsidRPr="00CE791E">
        <w:rPr>
          <w:rFonts w:asciiTheme="minorHAnsi" w:hAnsiTheme="minorHAnsi" w:cstheme="minorHAnsi"/>
        </w:rPr>
        <w:t xml:space="preserve">Establishment of future rates is under SPA authority.  </w:t>
      </w:r>
    </w:p>
    <w:p w14:paraId="2ABB5E7F" w14:textId="2ECC9BAD" w:rsidR="00CE791E" w:rsidRDefault="00FC6F0D" w:rsidP="00CE791E">
      <w:pPr>
        <w:pStyle w:val="ListParagraph"/>
        <w:numPr>
          <w:ilvl w:val="0"/>
          <w:numId w:val="8"/>
        </w:numPr>
        <w:rPr>
          <w:rFonts w:asciiTheme="minorHAnsi" w:hAnsiTheme="minorHAnsi" w:cstheme="minorHAnsi"/>
        </w:rPr>
      </w:pPr>
      <w:r w:rsidRPr="00CE791E">
        <w:rPr>
          <w:rFonts w:asciiTheme="minorHAnsi" w:hAnsiTheme="minorHAnsi" w:cstheme="minorHAnsi"/>
        </w:rPr>
        <w:t xml:space="preserve">12A.10 is not a COVID provider relief </w:t>
      </w:r>
      <w:r w:rsidR="00C06027" w:rsidRPr="00CE791E">
        <w:rPr>
          <w:rFonts w:asciiTheme="minorHAnsi" w:hAnsiTheme="minorHAnsi" w:cstheme="minorHAnsi"/>
        </w:rPr>
        <w:t>fund.</w:t>
      </w:r>
    </w:p>
    <w:p w14:paraId="4C166096" w14:textId="77777777" w:rsidR="00CE791E" w:rsidRDefault="00FC6F0D" w:rsidP="00CE791E">
      <w:pPr>
        <w:pStyle w:val="ListParagraph"/>
        <w:numPr>
          <w:ilvl w:val="0"/>
          <w:numId w:val="8"/>
        </w:numPr>
        <w:rPr>
          <w:rFonts w:asciiTheme="minorHAnsi" w:hAnsiTheme="minorHAnsi" w:cstheme="minorHAnsi"/>
        </w:rPr>
      </w:pPr>
      <w:r w:rsidRPr="00CE791E">
        <w:rPr>
          <w:rFonts w:asciiTheme="minorHAnsi" w:hAnsiTheme="minorHAnsi" w:cstheme="minorHAnsi"/>
        </w:rPr>
        <w:t xml:space="preserve">Only incremental COVID costs that are not already paid for by another source are eligible.  </w:t>
      </w:r>
    </w:p>
    <w:p w14:paraId="4FED27CD" w14:textId="69DA840F" w:rsidR="00FC6F0D" w:rsidRDefault="00FC6F0D" w:rsidP="00CE791E">
      <w:pPr>
        <w:pStyle w:val="ListParagraph"/>
        <w:numPr>
          <w:ilvl w:val="0"/>
          <w:numId w:val="8"/>
        </w:numPr>
        <w:rPr>
          <w:rFonts w:asciiTheme="minorHAnsi" w:hAnsiTheme="minorHAnsi" w:cstheme="minorHAnsi"/>
        </w:rPr>
      </w:pPr>
      <w:r w:rsidRPr="00CE791E">
        <w:rPr>
          <w:rFonts w:asciiTheme="minorHAnsi" w:hAnsiTheme="minorHAnsi" w:cstheme="minorHAnsi"/>
        </w:rPr>
        <w:t xml:space="preserve">HHS guidance on allowable uses of PRFs is not directing how the use of the funds will affect cost findings for future rates established under the SPA. </w:t>
      </w:r>
    </w:p>
    <w:p w14:paraId="7F092051" w14:textId="7B5650B0" w:rsidR="00CE791E" w:rsidRDefault="00CE791E" w:rsidP="00CE791E">
      <w:pPr>
        <w:rPr>
          <w:rFonts w:asciiTheme="minorHAnsi" w:hAnsiTheme="minorHAnsi" w:cstheme="minorHAnsi"/>
        </w:rPr>
      </w:pPr>
    </w:p>
    <w:p w14:paraId="7E94591F" w14:textId="77777777" w:rsidR="00566B90" w:rsidRDefault="00566B90" w:rsidP="00CE791E">
      <w:pPr>
        <w:rPr>
          <w:rFonts w:asciiTheme="minorHAnsi" w:hAnsiTheme="minorHAnsi" w:cstheme="minorHAnsi"/>
        </w:rPr>
      </w:pPr>
    </w:p>
    <w:p w14:paraId="5B9C8DDA" w14:textId="77777777" w:rsidR="00566B90" w:rsidRDefault="00566B90" w:rsidP="00CE791E">
      <w:pPr>
        <w:rPr>
          <w:rFonts w:asciiTheme="minorHAnsi" w:hAnsiTheme="minorHAnsi" w:cstheme="minorHAnsi"/>
        </w:rPr>
      </w:pPr>
    </w:p>
    <w:p w14:paraId="75A61F68" w14:textId="77777777" w:rsidR="00566B90" w:rsidRDefault="00566B90" w:rsidP="00CE791E">
      <w:pPr>
        <w:rPr>
          <w:rFonts w:asciiTheme="minorHAnsi" w:hAnsiTheme="minorHAnsi" w:cstheme="minorHAnsi"/>
        </w:rPr>
      </w:pPr>
    </w:p>
    <w:p w14:paraId="396275D6" w14:textId="1FFADABC" w:rsidR="005A7BA7" w:rsidRPr="00566B90" w:rsidRDefault="005A7BA7" w:rsidP="00CE791E">
      <w:pPr>
        <w:rPr>
          <w:rFonts w:asciiTheme="minorHAnsi" w:hAnsiTheme="minorHAnsi" w:cstheme="minorHAnsi"/>
          <w:b/>
          <w:bCs/>
          <w:color w:val="002060"/>
        </w:rPr>
      </w:pPr>
      <w:r w:rsidRPr="00566B90">
        <w:rPr>
          <w:rFonts w:asciiTheme="minorHAnsi" w:hAnsiTheme="minorHAnsi" w:cstheme="minorHAnsi"/>
          <w:b/>
          <w:bCs/>
          <w:color w:val="002060"/>
        </w:rPr>
        <w:t xml:space="preserve">US Department of Health and Human Services </w:t>
      </w:r>
      <w:r w:rsidR="00566B90" w:rsidRPr="00566B90">
        <w:rPr>
          <w:rFonts w:asciiTheme="minorHAnsi" w:hAnsiTheme="minorHAnsi" w:cstheme="minorHAnsi"/>
          <w:b/>
          <w:bCs/>
          <w:color w:val="002060"/>
        </w:rPr>
        <w:t>guidance on federal funding and Medicaid:</w:t>
      </w:r>
    </w:p>
    <w:p w14:paraId="12B7AA54" w14:textId="77777777" w:rsidR="00566B90" w:rsidRPr="00566B90" w:rsidRDefault="00566B90" w:rsidP="00566B90">
      <w:pPr>
        <w:rPr>
          <w:rFonts w:asciiTheme="minorHAnsi" w:hAnsiTheme="minorHAnsi" w:cstheme="minorHAnsi"/>
        </w:rPr>
      </w:pPr>
      <w:r w:rsidRPr="00566B90">
        <w:rPr>
          <w:rFonts w:asciiTheme="minorHAnsi" w:hAnsiTheme="minorHAnsi" w:cstheme="minorHAnsi"/>
        </w:rPr>
        <w:t>My state or territorial Medicaid or Children’s Health Insurance Program (CHIP) agency has directed providers to use Provider Relief Fund dollars before applying Medicaid or CHIP reimbursement, as well as Medicaid COVID-19 supplemental payments, to cover health care-related expenses or lost revenues attributable to coronavirus. Is this permissible? (Added 12/28/2020)</w:t>
      </w:r>
    </w:p>
    <w:p w14:paraId="53E48B26" w14:textId="77777777" w:rsidR="00566B90" w:rsidRDefault="00566B90" w:rsidP="00566B90">
      <w:pPr>
        <w:rPr>
          <w:rFonts w:asciiTheme="minorHAnsi" w:hAnsiTheme="minorHAnsi" w:cstheme="minorHAnsi"/>
        </w:rPr>
      </w:pPr>
    </w:p>
    <w:p w14:paraId="074826FF" w14:textId="4D33B646" w:rsidR="00566B90" w:rsidRPr="00CE791E" w:rsidRDefault="00566B90" w:rsidP="00566B90">
      <w:pPr>
        <w:rPr>
          <w:rFonts w:asciiTheme="minorHAnsi" w:hAnsiTheme="minorHAnsi" w:cstheme="minorHAnsi"/>
        </w:rPr>
      </w:pPr>
      <w:r w:rsidRPr="00566B90">
        <w:rPr>
          <w:rFonts w:asciiTheme="minorHAnsi" w:hAnsiTheme="minorHAnsi" w:cstheme="minorHAnsi"/>
          <w:b/>
          <w:bCs/>
          <w:color w:val="002060"/>
        </w:rPr>
        <w:t>No.</w:t>
      </w:r>
      <w:r w:rsidRPr="00566B90">
        <w:rPr>
          <w:rFonts w:asciiTheme="minorHAnsi" w:hAnsiTheme="minorHAnsi" w:cstheme="minorHAnsi"/>
          <w:color w:val="002060"/>
        </w:rPr>
        <w:t xml:space="preserve">  </w:t>
      </w:r>
      <w:r w:rsidRPr="00566B90">
        <w:rPr>
          <w:rFonts w:asciiTheme="minorHAnsi" w:hAnsiTheme="minorHAnsi" w:cstheme="minorHAnsi"/>
        </w:rPr>
        <w:t>As it relates to expenses, providers identify their health care-related expenses, and then apply any amounts received through other sources (e.g., direct patient billing, commercial insurance, Medicare/Medicaid/CHIP, reimbursement from the Provider Relief Fund COVID-19 Claims Reimbursement to Health Care Providers and Facilities for Testing, Treatment, and Vaccine Administration for the Uninsured, or funds received from FEMA or SBA/Department of Treasury’s Paycheck Protection Program) that offset the health care-related expenses.  Provider Relief Fund payments may be applied to the remaining expenses or cost, after netting the other funds received or obligated to be received which offset those expenses.</w:t>
      </w:r>
    </w:p>
    <w:p w14:paraId="3D86FB05" w14:textId="2DE8D449" w:rsidR="00FC6F0D" w:rsidRPr="0023786E" w:rsidRDefault="00FC6F0D" w:rsidP="0023786E">
      <w:pPr>
        <w:kinsoku w:val="0"/>
        <w:overflowPunct w:val="0"/>
        <w:autoSpaceDE w:val="0"/>
        <w:autoSpaceDN w:val="0"/>
        <w:adjustRightInd w:val="0"/>
        <w:ind w:left="43"/>
        <w:rPr>
          <w:rFonts w:asciiTheme="minorHAnsi" w:hAnsiTheme="minorHAnsi" w:cstheme="minorHAnsi"/>
        </w:rPr>
      </w:pPr>
    </w:p>
    <w:sectPr w:rsidR="00FC6F0D" w:rsidRPr="0023786E" w:rsidSect="009E2605">
      <w:headerReference w:type="default" r:id="rId51"/>
      <w:footerReference w:type="default" r:id="rId52"/>
      <w:pgSz w:w="12240" w:h="15840"/>
      <w:pgMar w:top="1440" w:right="1440" w:bottom="1440"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764D" w14:textId="77777777" w:rsidR="00E242FA" w:rsidRDefault="00E242FA" w:rsidP="00BF7371">
      <w:r>
        <w:separator/>
      </w:r>
    </w:p>
  </w:endnote>
  <w:endnote w:type="continuationSeparator" w:id="0">
    <w:p w14:paraId="28D26BC1" w14:textId="77777777" w:rsidR="00E242FA" w:rsidRDefault="00E242FA" w:rsidP="00BF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720"/>
      <w:gridCol w:w="4225"/>
    </w:tblGrid>
    <w:tr w:rsidR="00A63DD5" w:rsidRPr="009E2605" w14:paraId="0EF1FE96" w14:textId="61B63FBD" w:rsidTr="00891FB8">
      <w:trPr>
        <w:trHeight w:val="1260"/>
      </w:trPr>
      <w:tc>
        <w:tcPr>
          <w:tcW w:w="4405" w:type="dxa"/>
          <w:vAlign w:val="bottom"/>
        </w:tcPr>
        <w:p w14:paraId="4E565742" w14:textId="77777777" w:rsidR="00A63DD5" w:rsidRPr="009E2605" w:rsidRDefault="00A63DD5" w:rsidP="009E2605">
          <w:pPr>
            <w:autoSpaceDE w:val="0"/>
            <w:autoSpaceDN w:val="0"/>
            <w:adjustRightInd w:val="0"/>
            <w:contextualSpacing/>
            <w:jc w:val="center"/>
            <w:rPr>
              <w:rFonts w:asciiTheme="minorHAnsi" w:eastAsiaTheme="minorEastAsia" w:hAnsiTheme="minorHAnsi" w:cstheme="minorHAnsi"/>
              <w:color w:val="392E2C"/>
              <w:sz w:val="20"/>
              <w:szCs w:val="20"/>
            </w:rPr>
          </w:pPr>
          <w:r w:rsidRPr="009E2605">
            <w:rPr>
              <w:rFonts w:asciiTheme="minorHAnsi" w:eastAsiaTheme="minorEastAsia" w:hAnsiTheme="minorHAnsi" w:cstheme="minorHAnsi"/>
              <w:color w:val="392E2C"/>
              <w:sz w:val="20"/>
              <w:szCs w:val="20"/>
            </w:rPr>
            <w:t>Toby Pearson</w:t>
          </w:r>
        </w:p>
        <w:p w14:paraId="615E513F" w14:textId="77777777" w:rsidR="00A63DD5" w:rsidRPr="009E2605" w:rsidRDefault="00A63DD5" w:rsidP="009E2605">
          <w:pPr>
            <w:autoSpaceDE w:val="0"/>
            <w:autoSpaceDN w:val="0"/>
            <w:adjustRightInd w:val="0"/>
            <w:contextualSpacing/>
            <w:jc w:val="center"/>
            <w:rPr>
              <w:rFonts w:asciiTheme="minorHAnsi" w:eastAsiaTheme="minorEastAsia" w:hAnsiTheme="minorHAnsi" w:cstheme="minorHAnsi"/>
              <w:color w:val="392E2C"/>
              <w:sz w:val="20"/>
              <w:szCs w:val="20"/>
            </w:rPr>
          </w:pPr>
          <w:r w:rsidRPr="009E2605">
            <w:rPr>
              <w:rFonts w:asciiTheme="minorHAnsi" w:eastAsiaTheme="minorEastAsia" w:hAnsiTheme="minorHAnsi" w:cstheme="minorHAnsi"/>
              <w:color w:val="392E2C"/>
              <w:sz w:val="20"/>
              <w:szCs w:val="20"/>
            </w:rPr>
            <w:t>Care Providers of Minnesota</w:t>
          </w:r>
        </w:p>
        <w:p w14:paraId="7A5FC8A8" w14:textId="77777777" w:rsidR="00A63DD5" w:rsidRPr="009E2605" w:rsidRDefault="00A63DD5" w:rsidP="009E2605">
          <w:pPr>
            <w:autoSpaceDE w:val="0"/>
            <w:autoSpaceDN w:val="0"/>
            <w:adjustRightInd w:val="0"/>
            <w:contextualSpacing/>
            <w:jc w:val="center"/>
            <w:rPr>
              <w:rFonts w:asciiTheme="minorHAnsi" w:eastAsiaTheme="minorEastAsia" w:hAnsiTheme="minorHAnsi" w:cstheme="minorHAnsi"/>
              <w:color w:val="392E2C"/>
              <w:sz w:val="20"/>
              <w:szCs w:val="20"/>
            </w:rPr>
          </w:pPr>
          <w:r w:rsidRPr="009E2605">
            <w:rPr>
              <w:rFonts w:asciiTheme="minorHAnsi" w:eastAsiaTheme="minorEastAsia" w:hAnsiTheme="minorHAnsi" w:cstheme="minorHAnsi"/>
              <w:color w:val="392E2C"/>
              <w:sz w:val="20"/>
              <w:szCs w:val="20"/>
            </w:rPr>
            <w:t>o: 952-851-2480</w:t>
          </w:r>
        </w:p>
        <w:p w14:paraId="47A1CF04" w14:textId="77777777" w:rsidR="00A63DD5" w:rsidRPr="009E2605" w:rsidRDefault="00A63DD5" w:rsidP="009E2605">
          <w:pPr>
            <w:autoSpaceDE w:val="0"/>
            <w:autoSpaceDN w:val="0"/>
            <w:adjustRightInd w:val="0"/>
            <w:contextualSpacing/>
            <w:jc w:val="center"/>
            <w:rPr>
              <w:rFonts w:asciiTheme="minorHAnsi" w:eastAsiaTheme="minorEastAsia" w:hAnsiTheme="minorHAnsi" w:cstheme="minorHAnsi"/>
              <w:color w:val="392E2C"/>
              <w:sz w:val="20"/>
              <w:szCs w:val="20"/>
            </w:rPr>
          </w:pPr>
          <w:r w:rsidRPr="009E2605">
            <w:rPr>
              <w:rFonts w:asciiTheme="minorHAnsi" w:eastAsiaTheme="minorEastAsia" w:hAnsiTheme="minorHAnsi" w:cstheme="minorHAnsi"/>
              <w:color w:val="392E2C"/>
              <w:sz w:val="20"/>
              <w:szCs w:val="20"/>
            </w:rPr>
            <w:t>c: 612-860-9813</w:t>
          </w:r>
        </w:p>
        <w:p w14:paraId="258F9B34" w14:textId="77777777" w:rsidR="00A63DD5" w:rsidRPr="009E2605" w:rsidRDefault="00A63DD5" w:rsidP="009E2605">
          <w:pPr>
            <w:contextualSpacing/>
            <w:jc w:val="center"/>
            <w:rPr>
              <w:rFonts w:asciiTheme="minorHAnsi" w:hAnsiTheme="minorHAnsi" w:cstheme="minorHAnsi"/>
              <w:sz w:val="20"/>
              <w:szCs w:val="20"/>
            </w:rPr>
          </w:pPr>
          <w:r w:rsidRPr="009E2605">
            <w:rPr>
              <w:rFonts w:asciiTheme="minorHAnsi" w:eastAsiaTheme="minorEastAsia" w:hAnsiTheme="minorHAnsi" w:cstheme="minorHAnsi"/>
              <w:color w:val="392E2C"/>
              <w:sz w:val="20"/>
              <w:szCs w:val="20"/>
            </w:rPr>
            <w:t>tpearson@careproviders.org</w:t>
          </w:r>
        </w:p>
      </w:tc>
      <w:tc>
        <w:tcPr>
          <w:tcW w:w="720" w:type="dxa"/>
        </w:tcPr>
        <w:p w14:paraId="28E9DC50" w14:textId="5B94DA17" w:rsidR="00A63DD5" w:rsidRPr="00891FB8" w:rsidRDefault="00891FB8" w:rsidP="009E2605">
          <w:pPr>
            <w:contextualSpacing/>
            <w:jc w:val="center"/>
            <w:rPr>
              <w:rFonts w:asciiTheme="minorHAnsi" w:hAnsiTheme="minorHAnsi" w:cstheme="minorHAnsi"/>
              <w:sz w:val="18"/>
              <w:szCs w:val="18"/>
            </w:rPr>
          </w:pPr>
          <w:r w:rsidRPr="00891FB8">
            <w:rPr>
              <w:rFonts w:asciiTheme="minorHAnsi" w:eastAsiaTheme="majorEastAsia" w:hAnsiTheme="minorHAnsi" w:cstheme="minorHAnsi"/>
              <w:sz w:val="18"/>
              <w:szCs w:val="18"/>
            </w:rPr>
            <w:t xml:space="preserve">~ </w:t>
          </w:r>
          <w:r w:rsidRPr="00891FB8">
            <w:rPr>
              <w:rFonts w:asciiTheme="minorHAnsi" w:eastAsiaTheme="minorEastAsia" w:hAnsiTheme="minorHAnsi" w:cstheme="minorHAnsi"/>
              <w:sz w:val="18"/>
              <w:szCs w:val="18"/>
            </w:rPr>
            <w:fldChar w:fldCharType="begin"/>
          </w:r>
          <w:r w:rsidRPr="00891FB8">
            <w:rPr>
              <w:rFonts w:asciiTheme="minorHAnsi" w:hAnsiTheme="minorHAnsi" w:cstheme="minorHAnsi"/>
              <w:sz w:val="18"/>
              <w:szCs w:val="18"/>
            </w:rPr>
            <w:instrText xml:space="preserve"> PAGE    \* MERGEFORMAT </w:instrText>
          </w:r>
          <w:r w:rsidRPr="00891FB8">
            <w:rPr>
              <w:rFonts w:asciiTheme="minorHAnsi" w:eastAsiaTheme="minorEastAsia" w:hAnsiTheme="minorHAnsi" w:cstheme="minorHAnsi"/>
              <w:sz w:val="18"/>
              <w:szCs w:val="18"/>
            </w:rPr>
            <w:fldChar w:fldCharType="separate"/>
          </w:r>
          <w:r w:rsidRPr="00891FB8">
            <w:rPr>
              <w:rFonts w:asciiTheme="minorHAnsi" w:eastAsiaTheme="majorEastAsia" w:hAnsiTheme="minorHAnsi" w:cstheme="minorHAnsi"/>
              <w:sz w:val="18"/>
              <w:szCs w:val="18"/>
            </w:rPr>
            <w:t>1</w:t>
          </w:r>
          <w:r w:rsidRPr="00891FB8">
            <w:rPr>
              <w:rFonts w:asciiTheme="minorHAnsi" w:eastAsiaTheme="majorEastAsia" w:hAnsiTheme="minorHAnsi" w:cstheme="minorHAnsi"/>
              <w:sz w:val="18"/>
              <w:szCs w:val="18"/>
            </w:rPr>
            <w:fldChar w:fldCharType="end"/>
          </w:r>
          <w:r w:rsidRPr="00891FB8">
            <w:rPr>
              <w:rFonts w:asciiTheme="minorHAnsi" w:eastAsiaTheme="majorEastAsia" w:hAnsiTheme="minorHAnsi" w:cstheme="minorHAnsi"/>
              <w:sz w:val="18"/>
              <w:szCs w:val="18"/>
            </w:rPr>
            <w:t xml:space="preserve"> ~</w:t>
          </w:r>
        </w:p>
      </w:tc>
      <w:tc>
        <w:tcPr>
          <w:tcW w:w="4225" w:type="dxa"/>
          <w:vAlign w:val="bottom"/>
        </w:tcPr>
        <w:p w14:paraId="55AA6CCF" w14:textId="6D531F6F" w:rsidR="00A63DD5" w:rsidRPr="009E2605" w:rsidRDefault="00A63DD5" w:rsidP="009E2605">
          <w:pPr>
            <w:contextualSpacing/>
            <w:jc w:val="center"/>
            <w:rPr>
              <w:rFonts w:asciiTheme="minorHAnsi" w:hAnsiTheme="minorHAnsi" w:cstheme="minorHAnsi"/>
              <w:sz w:val="20"/>
              <w:szCs w:val="20"/>
            </w:rPr>
          </w:pPr>
          <w:r w:rsidRPr="009E2605">
            <w:rPr>
              <w:rFonts w:asciiTheme="minorHAnsi" w:hAnsiTheme="minorHAnsi" w:cstheme="minorHAnsi"/>
              <w:sz w:val="20"/>
              <w:szCs w:val="20"/>
            </w:rPr>
            <w:t>Kari Thurlow</w:t>
          </w:r>
        </w:p>
        <w:p w14:paraId="061D1C77" w14:textId="77777777" w:rsidR="00A63DD5" w:rsidRPr="009E2605" w:rsidRDefault="00A63DD5" w:rsidP="009E2605">
          <w:pPr>
            <w:contextualSpacing/>
            <w:jc w:val="center"/>
            <w:rPr>
              <w:rFonts w:asciiTheme="minorHAnsi" w:hAnsiTheme="minorHAnsi" w:cstheme="minorHAnsi"/>
              <w:sz w:val="20"/>
              <w:szCs w:val="20"/>
            </w:rPr>
          </w:pPr>
          <w:r w:rsidRPr="009E2605">
            <w:rPr>
              <w:rFonts w:asciiTheme="minorHAnsi" w:hAnsiTheme="minorHAnsi" w:cstheme="minorHAnsi"/>
              <w:sz w:val="20"/>
              <w:szCs w:val="20"/>
            </w:rPr>
            <w:t>LeadingAge Minnesota</w:t>
          </w:r>
        </w:p>
        <w:p w14:paraId="25D9BDD9" w14:textId="77777777" w:rsidR="00A63DD5" w:rsidRPr="009E2605" w:rsidRDefault="00A63DD5" w:rsidP="009E2605">
          <w:pPr>
            <w:contextualSpacing/>
            <w:jc w:val="center"/>
            <w:rPr>
              <w:rFonts w:asciiTheme="minorHAnsi" w:hAnsiTheme="minorHAnsi" w:cstheme="minorHAnsi"/>
              <w:sz w:val="20"/>
              <w:szCs w:val="20"/>
            </w:rPr>
          </w:pPr>
          <w:r w:rsidRPr="009E2605">
            <w:rPr>
              <w:rFonts w:asciiTheme="minorHAnsi" w:hAnsiTheme="minorHAnsi" w:cstheme="minorHAnsi"/>
              <w:sz w:val="20"/>
              <w:szCs w:val="20"/>
            </w:rPr>
            <w:t>o: 651-603-3512</w:t>
          </w:r>
        </w:p>
        <w:p w14:paraId="2D5505A6" w14:textId="77777777" w:rsidR="00A63DD5" w:rsidRPr="009E2605" w:rsidRDefault="00A63DD5" w:rsidP="009E2605">
          <w:pPr>
            <w:contextualSpacing/>
            <w:jc w:val="center"/>
            <w:rPr>
              <w:rFonts w:asciiTheme="minorHAnsi" w:hAnsiTheme="minorHAnsi" w:cstheme="minorHAnsi"/>
              <w:sz w:val="20"/>
              <w:szCs w:val="20"/>
            </w:rPr>
          </w:pPr>
          <w:r w:rsidRPr="009E2605">
            <w:rPr>
              <w:rFonts w:asciiTheme="minorHAnsi" w:hAnsiTheme="minorHAnsi" w:cstheme="minorHAnsi"/>
              <w:sz w:val="20"/>
              <w:szCs w:val="20"/>
            </w:rPr>
            <w:t>c: 651-895-3723</w:t>
          </w:r>
        </w:p>
        <w:p w14:paraId="5BE10B8A" w14:textId="308C4C7C" w:rsidR="00A63DD5" w:rsidRPr="009E2605" w:rsidRDefault="00A63DD5" w:rsidP="0080326C">
          <w:pPr>
            <w:contextualSpacing/>
            <w:jc w:val="center"/>
            <w:rPr>
              <w:rFonts w:asciiTheme="minorHAnsi" w:hAnsiTheme="minorHAnsi" w:cstheme="minorHAnsi"/>
              <w:sz w:val="20"/>
              <w:szCs w:val="20"/>
            </w:rPr>
          </w:pPr>
          <w:r w:rsidRPr="009E2605">
            <w:rPr>
              <w:rFonts w:asciiTheme="minorHAnsi" w:hAnsiTheme="minorHAnsi" w:cstheme="minorHAnsi"/>
              <w:sz w:val="20"/>
              <w:szCs w:val="20"/>
            </w:rPr>
            <w:t>kthurlow@leadingagemn.org</w:t>
          </w:r>
        </w:p>
      </w:tc>
    </w:tr>
  </w:tbl>
  <w:p w14:paraId="1250844E" w14:textId="77777777" w:rsidR="009E2605" w:rsidRDefault="009E2605" w:rsidP="009E2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85667" w14:textId="77777777" w:rsidR="00E242FA" w:rsidRDefault="00E242FA" w:rsidP="00BF7371">
      <w:r>
        <w:separator/>
      </w:r>
    </w:p>
  </w:footnote>
  <w:footnote w:type="continuationSeparator" w:id="0">
    <w:p w14:paraId="6A6C6560" w14:textId="77777777" w:rsidR="00E242FA" w:rsidRDefault="00E242FA" w:rsidP="00BF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2785"/>
    </w:tblGrid>
    <w:tr w:rsidR="00EB0567" w14:paraId="1A9EF868" w14:textId="77777777" w:rsidTr="00BF71D8">
      <w:tc>
        <w:tcPr>
          <w:tcW w:w="6565" w:type="dxa"/>
        </w:tcPr>
        <w:p w14:paraId="2C1A6FE9" w14:textId="77777777" w:rsidR="00BF71D8" w:rsidRPr="00BF71D8" w:rsidRDefault="00BF71D8" w:rsidP="00BF71D8">
          <w:pPr>
            <w:rPr>
              <w:sz w:val="16"/>
              <w:szCs w:val="16"/>
            </w:rPr>
          </w:pPr>
        </w:p>
        <w:p w14:paraId="677BD4A5" w14:textId="77777777" w:rsidR="00EB0567" w:rsidRPr="00E03081" w:rsidRDefault="006E64AC" w:rsidP="00BF71D8">
          <w:pPr>
            <w:ind w:left="115" w:right="158"/>
            <w:contextualSpacing/>
            <w:rPr>
              <w:rFonts w:asciiTheme="minorHAnsi" w:hAnsiTheme="minorHAnsi" w:cstheme="minorHAnsi"/>
              <w:b/>
              <w:color w:val="002060"/>
              <w:sz w:val="32"/>
              <w:szCs w:val="14"/>
            </w:rPr>
          </w:pPr>
          <w:r w:rsidRPr="00E03081">
            <w:rPr>
              <w:rFonts w:asciiTheme="minorHAnsi" w:hAnsiTheme="minorHAnsi" w:cstheme="minorHAnsi"/>
              <w:b/>
              <w:color w:val="002060"/>
              <w:sz w:val="32"/>
              <w:szCs w:val="14"/>
            </w:rPr>
            <w:t>Minnesota Nursing Facilities</w:t>
          </w:r>
        </w:p>
        <w:p w14:paraId="5B01C0BE" w14:textId="37DCAFA4" w:rsidR="00E03081" w:rsidRPr="00BF71D8" w:rsidRDefault="00E03081" w:rsidP="00BF71D8">
          <w:pPr>
            <w:ind w:left="115" w:right="158"/>
            <w:contextualSpacing/>
            <w:rPr>
              <w:rFonts w:asciiTheme="minorHAnsi" w:hAnsiTheme="minorHAnsi" w:cstheme="minorHAnsi"/>
              <w:b/>
              <w:sz w:val="28"/>
              <w:szCs w:val="12"/>
            </w:rPr>
          </w:pPr>
          <w:r w:rsidRPr="00E03081">
            <w:rPr>
              <w:rFonts w:asciiTheme="minorHAnsi" w:hAnsiTheme="minorHAnsi" w:cstheme="minorHAnsi"/>
              <w:b/>
              <w:color w:val="002060"/>
              <w:sz w:val="28"/>
              <w:szCs w:val="12"/>
            </w:rPr>
            <w:t>COVID-19, Cost Reporting, Rate Setting, and Minnesota Statutes 12A.10</w:t>
          </w:r>
        </w:p>
      </w:tc>
      <w:tc>
        <w:tcPr>
          <w:tcW w:w="2785" w:type="dxa"/>
        </w:tcPr>
        <w:p w14:paraId="6D4C13C2" w14:textId="1CCFFEEA" w:rsidR="00EB0567" w:rsidRDefault="00BF71D8" w:rsidP="00BF71D8">
          <w:pPr>
            <w:pStyle w:val="Header"/>
          </w:pPr>
          <w:r w:rsidRPr="00EB0567">
            <w:rPr>
              <w:rFonts w:asciiTheme="minorHAnsi" w:hAnsiTheme="minorHAnsi" w:cstheme="minorHAnsi"/>
              <w:noProof/>
              <w:sz w:val="36"/>
              <w:szCs w:val="18"/>
            </w:rPr>
            <w:drawing>
              <wp:anchor distT="0" distB="0" distL="114300" distR="114300" simplePos="0" relativeHeight="251659264" behindDoc="0" locked="0" layoutInCell="1" allowOverlap="0" wp14:anchorId="72730FF3" wp14:editId="5EAF3B49">
                <wp:simplePos x="0" y="0"/>
                <wp:positionH relativeFrom="page">
                  <wp:posOffset>1252855</wp:posOffset>
                </wp:positionH>
                <wp:positionV relativeFrom="page">
                  <wp:posOffset>93345</wp:posOffset>
                </wp:positionV>
                <wp:extent cx="1617091" cy="61214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617091" cy="612140"/>
                        </a:xfrm>
                        <a:prstGeom prst="rect">
                          <a:avLst/>
                        </a:prstGeom>
                      </pic:spPr>
                    </pic:pic>
                  </a:graphicData>
                </a:graphic>
              </wp:anchor>
            </w:drawing>
          </w:r>
        </w:p>
      </w:tc>
    </w:tr>
  </w:tbl>
  <w:p w14:paraId="24B6D8E5" w14:textId="77777777" w:rsidR="00EB0567" w:rsidRPr="00C536BC" w:rsidRDefault="00EB0567">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707"/>
    <w:multiLevelType w:val="hybridMultilevel"/>
    <w:tmpl w:val="3556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103A"/>
    <w:multiLevelType w:val="hybridMultilevel"/>
    <w:tmpl w:val="E1C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7063"/>
    <w:multiLevelType w:val="hybridMultilevel"/>
    <w:tmpl w:val="CB143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D71C3"/>
    <w:multiLevelType w:val="hybridMultilevel"/>
    <w:tmpl w:val="0862F306"/>
    <w:lvl w:ilvl="0" w:tplc="C9323ECA">
      <w:start w:val="1"/>
      <w:numFmt w:val="bullet"/>
      <w:lvlText w:val="•"/>
      <w:lvlJc w:val="left"/>
      <w:pPr>
        <w:tabs>
          <w:tab w:val="num" w:pos="720"/>
        </w:tabs>
        <w:ind w:left="720" w:hanging="360"/>
      </w:pPr>
      <w:rPr>
        <w:rFonts w:ascii="Arial" w:hAnsi="Arial" w:hint="default"/>
      </w:rPr>
    </w:lvl>
    <w:lvl w:ilvl="1" w:tplc="57DAB0C4" w:tentative="1">
      <w:start w:val="1"/>
      <w:numFmt w:val="bullet"/>
      <w:lvlText w:val="•"/>
      <w:lvlJc w:val="left"/>
      <w:pPr>
        <w:tabs>
          <w:tab w:val="num" w:pos="1440"/>
        </w:tabs>
        <w:ind w:left="1440" w:hanging="360"/>
      </w:pPr>
      <w:rPr>
        <w:rFonts w:ascii="Arial" w:hAnsi="Arial" w:hint="default"/>
      </w:rPr>
    </w:lvl>
    <w:lvl w:ilvl="2" w:tplc="DFC40EB2" w:tentative="1">
      <w:start w:val="1"/>
      <w:numFmt w:val="bullet"/>
      <w:lvlText w:val="•"/>
      <w:lvlJc w:val="left"/>
      <w:pPr>
        <w:tabs>
          <w:tab w:val="num" w:pos="2160"/>
        </w:tabs>
        <w:ind w:left="2160" w:hanging="360"/>
      </w:pPr>
      <w:rPr>
        <w:rFonts w:ascii="Arial" w:hAnsi="Arial" w:hint="default"/>
      </w:rPr>
    </w:lvl>
    <w:lvl w:ilvl="3" w:tplc="4762DF9C" w:tentative="1">
      <w:start w:val="1"/>
      <w:numFmt w:val="bullet"/>
      <w:lvlText w:val="•"/>
      <w:lvlJc w:val="left"/>
      <w:pPr>
        <w:tabs>
          <w:tab w:val="num" w:pos="2880"/>
        </w:tabs>
        <w:ind w:left="2880" w:hanging="360"/>
      </w:pPr>
      <w:rPr>
        <w:rFonts w:ascii="Arial" w:hAnsi="Arial" w:hint="default"/>
      </w:rPr>
    </w:lvl>
    <w:lvl w:ilvl="4" w:tplc="28FA8C6A" w:tentative="1">
      <w:start w:val="1"/>
      <w:numFmt w:val="bullet"/>
      <w:lvlText w:val="•"/>
      <w:lvlJc w:val="left"/>
      <w:pPr>
        <w:tabs>
          <w:tab w:val="num" w:pos="3600"/>
        </w:tabs>
        <w:ind w:left="3600" w:hanging="360"/>
      </w:pPr>
      <w:rPr>
        <w:rFonts w:ascii="Arial" w:hAnsi="Arial" w:hint="default"/>
      </w:rPr>
    </w:lvl>
    <w:lvl w:ilvl="5" w:tplc="39B67540" w:tentative="1">
      <w:start w:val="1"/>
      <w:numFmt w:val="bullet"/>
      <w:lvlText w:val="•"/>
      <w:lvlJc w:val="left"/>
      <w:pPr>
        <w:tabs>
          <w:tab w:val="num" w:pos="4320"/>
        </w:tabs>
        <w:ind w:left="4320" w:hanging="360"/>
      </w:pPr>
      <w:rPr>
        <w:rFonts w:ascii="Arial" w:hAnsi="Arial" w:hint="default"/>
      </w:rPr>
    </w:lvl>
    <w:lvl w:ilvl="6" w:tplc="76ECAA10" w:tentative="1">
      <w:start w:val="1"/>
      <w:numFmt w:val="bullet"/>
      <w:lvlText w:val="•"/>
      <w:lvlJc w:val="left"/>
      <w:pPr>
        <w:tabs>
          <w:tab w:val="num" w:pos="5040"/>
        </w:tabs>
        <w:ind w:left="5040" w:hanging="360"/>
      </w:pPr>
      <w:rPr>
        <w:rFonts w:ascii="Arial" w:hAnsi="Arial" w:hint="default"/>
      </w:rPr>
    </w:lvl>
    <w:lvl w:ilvl="7" w:tplc="A15E0B02" w:tentative="1">
      <w:start w:val="1"/>
      <w:numFmt w:val="bullet"/>
      <w:lvlText w:val="•"/>
      <w:lvlJc w:val="left"/>
      <w:pPr>
        <w:tabs>
          <w:tab w:val="num" w:pos="5760"/>
        </w:tabs>
        <w:ind w:left="5760" w:hanging="360"/>
      </w:pPr>
      <w:rPr>
        <w:rFonts w:ascii="Arial" w:hAnsi="Arial" w:hint="default"/>
      </w:rPr>
    </w:lvl>
    <w:lvl w:ilvl="8" w:tplc="9628FB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5C5504"/>
    <w:multiLevelType w:val="hybridMultilevel"/>
    <w:tmpl w:val="87B4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44385"/>
    <w:multiLevelType w:val="hybridMultilevel"/>
    <w:tmpl w:val="25DA6D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733C9F"/>
    <w:multiLevelType w:val="hybridMultilevel"/>
    <w:tmpl w:val="BB86A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356D4"/>
    <w:multiLevelType w:val="hybridMultilevel"/>
    <w:tmpl w:val="ADB6A834"/>
    <w:lvl w:ilvl="0" w:tplc="83D284DE">
      <w:start w:val="1"/>
      <w:numFmt w:val="bullet"/>
      <w:lvlText w:val="•"/>
      <w:lvlJc w:val="left"/>
      <w:pPr>
        <w:tabs>
          <w:tab w:val="num" w:pos="720"/>
        </w:tabs>
        <w:ind w:left="720" w:hanging="360"/>
      </w:pPr>
      <w:rPr>
        <w:rFonts w:ascii="Times New Roman" w:hAnsi="Times New Roman" w:hint="default"/>
      </w:rPr>
    </w:lvl>
    <w:lvl w:ilvl="1" w:tplc="CBB0A65E" w:tentative="1">
      <w:start w:val="1"/>
      <w:numFmt w:val="bullet"/>
      <w:lvlText w:val="•"/>
      <w:lvlJc w:val="left"/>
      <w:pPr>
        <w:tabs>
          <w:tab w:val="num" w:pos="1440"/>
        </w:tabs>
        <w:ind w:left="1440" w:hanging="360"/>
      </w:pPr>
      <w:rPr>
        <w:rFonts w:ascii="Times New Roman" w:hAnsi="Times New Roman" w:hint="default"/>
      </w:rPr>
    </w:lvl>
    <w:lvl w:ilvl="2" w:tplc="F7AE960E" w:tentative="1">
      <w:start w:val="1"/>
      <w:numFmt w:val="bullet"/>
      <w:lvlText w:val="•"/>
      <w:lvlJc w:val="left"/>
      <w:pPr>
        <w:tabs>
          <w:tab w:val="num" w:pos="2160"/>
        </w:tabs>
        <w:ind w:left="2160" w:hanging="360"/>
      </w:pPr>
      <w:rPr>
        <w:rFonts w:ascii="Times New Roman" w:hAnsi="Times New Roman" w:hint="default"/>
      </w:rPr>
    </w:lvl>
    <w:lvl w:ilvl="3" w:tplc="0920729E" w:tentative="1">
      <w:start w:val="1"/>
      <w:numFmt w:val="bullet"/>
      <w:lvlText w:val="•"/>
      <w:lvlJc w:val="left"/>
      <w:pPr>
        <w:tabs>
          <w:tab w:val="num" w:pos="2880"/>
        </w:tabs>
        <w:ind w:left="2880" w:hanging="360"/>
      </w:pPr>
      <w:rPr>
        <w:rFonts w:ascii="Times New Roman" w:hAnsi="Times New Roman" w:hint="default"/>
      </w:rPr>
    </w:lvl>
    <w:lvl w:ilvl="4" w:tplc="9D3C8DA2" w:tentative="1">
      <w:start w:val="1"/>
      <w:numFmt w:val="bullet"/>
      <w:lvlText w:val="•"/>
      <w:lvlJc w:val="left"/>
      <w:pPr>
        <w:tabs>
          <w:tab w:val="num" w:pos="3600"/>
        </w:tabs>
        <w:ind w:left="3600" w:hanging="360"/>
      </w:pPr>
      <w:rPr>
        <w:rFonts w:ascii="Times New Roman" w:hAnsi="Times New Roman" w:hint="default"/>
      </w:rPr>
    </w:lvl>
    <w:lvl w:ilvl="5" w:tplc="18CCAC9A" w:tentative="1">
      <w:start w:val="1"/>
      <w:numFmt w:val="bullet"/>
      <w:lvlText w:val="•"/>
      <w:lvlJc w:val="left"/>
      <w:pPr>
        <w:tabs>
          <w:tab w:val="num" w:pos="4320"/>
        </w:tabs>
        <w:ind w:left="4320" w:hanging="360"/>
      </w:pPr>
      <w:rPr>
        <w:rFonts w:ascii="Times New Roman" w:hAnsi="Times New Roman" w:hint="default"/>
      </w:rPr>
    </w:lvl>
    <w:lvl w:ilvl="6" w:tplc="183E87E6" w:tentative="1">
      <w:start w:val="1"/>
      <w:numFmt w:val="bullet"/>
      <w:lvlText w:val="•"/>
      <w:lvlJc w:val="left"/>
      <w:pPr>
        <w:tabs>
          <w:tab w:val="num" w:pos="5040"/>
        </w:tabs>
        <w:ind w:left="5040" w:hanging="360"/>
      </w:pPr>
      <w:rPr>
        <w:rFonts w:ascii="Times New Roman" w:hAnsi="Times New Roman" w:hint="default"/>
      </w:rPr>
    </w:lvl>
    <w:lvl w:ilvl="7" w:tplc="0F9045BA" w:tentative="1">
      <w:start w:val="1"/>
      <w:numFmt w:val="bullet"/>
      <w:lvlText w:val="•"/>
      <w:lvlJc w:val="left"/>
      <w:pPr>
        <w:tabs>
          <w:tab w:val="num" w:pos="5760"/>
        </w:tabs>
        <w:ind w:left="5760" w:hanging="360"/>
      </w:pPr>
      <w:rPr>
        <w:rFonts w:ascii="Times New Roman" w:hAnsi="Times New Roman" w:hint="default"/>
      </w:rPr>
    </w:lvl>
    <w:lvl w:ilvl="8" w:tplc="5CACA70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7A7666"/>
    <w:multiLevelType w:val="hybridMultilevel"/>
    <w:tmpl w:val="EDF2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64073"/>
    <w:multiLevelType w:val="hybridMultilevel"/>
    <w:tmpl w:val="B076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5058E"/>
    <w:multiLevelType w:val="hybridMultilevel"/>
    <w:tmpl w:val="9DEE3112"/>
    <w:lvl w:ilvl="0" w:tplc="1102CE4E">
      <w:start w:val="1"/>
      <w:numFmt w:val="bullet"/>
      <w:lvlText w:val="•"/>
      <w:lvlJc w:val="left"/>
      <w:pPr>
        <w:tabs>
          <w:tab w:val="num" w:pos="720"/>
        </w:tabs>
        <w:ind w:left="720" w:hanging="360"/>
      </w:pPr>
      <w:rPr>
        <w:rFonts w:ascii="Times New Roman" w:hAnsi="Times New Roman" w:hint="default"/>
      </w:rPr>
    </w:lvl>
    <w:lvl w:ilvl="1" w:tplc="28C205C6" w:tentative="1">
      <w:start w:val="1"/>
      <w:numFmt w:val="bullet"/>
      <w:lvlText w:val="•"/>
      <w:lvlJc w:val="left"/>
      <w:pPr>
        <w:tabs>
          <w:tab w:val="num" w:pos="1440"/>
        </w:tabs>
        <w:ind w:left="1440" w:hanging="360"/>
      </w:pPr>
      <w:rPr>
        <w:rFonts w:ascii="Times New Roman" w:hAnsi="Times New Roman" w:hint="default"/>
      </w:rPr>
    </w:lvl>
    <w:lvl w:ilvl="2" w:tplc="C5863D30" w:tentative="1">
      <w:start w:val="1"/>
      <w:numFmt w:val="bullet"/>
      <w:lvlText w:val="•"/>
      <w:lvlJc w:val="left"/>
      <w:pPr>
        <w:tabs>
          <w:tab w:val="num" w:pos="2160"/>
        </w:tabs>
        <w:ind w:left="2160" w:hanging="360"/>
      </w:pPr>
      <w:rPr>
        <w:rFonts w:ascii="Times New Roman" w:hAnsi="Times New Roman" w:hint="default"/>
      </w:rPr>
    </w:lvl>
    <w:lvl w:ilvl="3" w:tplc="B62E9A56" w:tentative="1">
      <w:start w:val="1"/>
      <w:numFmt w:val="bullet"/>
      <w:lvlText w:val="•"/>
      <w:lvlJc w:val="left"/>
      <w:pPr>
        <w:tabs>
          <w:tab w:val="num" w:pos="2880"/>
        </w:tabs>
        <w:ind w:left="2880" w:hanging="360"/>
      </w:pPr>
      <w:rPr>
        <w:rFonts w:ascii="Times New Roman" w:hAnsi="Times New Roman" w:hint="default"/>
      </w:rPr>
    </w:lvl>
    <w:lvl w:ilvl="4" w:tplc="7A78AB16" w:tentative="1">
      <w:start w:val="1"/>
      <w:numFmt w:val="bullet"/>
      <w:lvlText w:val="•"/>
      <w:lvlJc w:val="left"/>
      <w:pPr>
        <w:tabs>
          <w:tab w:val="num" w:pos="3600"/>
        </w:tabs>
        <w:ind w:left="3600" w:hanging="360"/>
      </w:pPr>
      <w:rPr>
        <w:rFonts w:ascii="Times New Roman" w:hAnsi="Times New Roman" w:hint="default"/>
      </w:rPr>
    </w:lvl>
    <w:lvl w:ilvl="5" w:tplc="DE06372E" w:tentative="1">
      <w:start w:val="1"/>
      <w:numFmt w:val="bullet"/>
      <w:lvlText w:val="•"/>
      <w:lvlJc w:val="left"/>
      <w:pPr>
        <w:tabs>
          <w:tab w:val="num" w:pos="4320"/>
        </w:tabs>
        <w:ind w:left="4320" w:hanging="360"/>
      </w:pPr>
      <w:rPr>
        <w:rFonts w:ascii="Times New Roman" w:hAnsi="Times New Roman" w:hint="default"/>
      </w:rPr>
    </w:lvl>
    <w:lvl w:ilvl="6" w:tplc="2E6AF454" w:tentative="1">
      <w:start w:val="1"/>
      <w:numFmt w:val="bullet"/>
      <w:lvlText w:val="•"/>
      <w:lvlJc w:val="left"/>
      <w:pPr>
        <w:tabs>
          <w:tab w:val="num" w:pos="5040"/>
        </w:tabs>
        <w:ind w:left="5040" w:hanging="360"/>
      </w:pPr>
      <w:rPr>
        <w:rFonts w:ascii="Times New Roman" w:hAnsi="Times New Roman" w:hint="default"/>
      </w:rPr>
    </w:lvl>
    <w:lvl w:ilvl="7" w:tplc="EBBE76A8" w:tentative="1">
      <w:start w:val="1"/>
      <w:numFmt w:val="bullet"/>
      <w:lvlText w:val="•"/>
      <w:lvlJc w:val="left"/>
      <w:pPr>
        <w:tabs>
          <w:tab w:val="num" w:pos="5760"/>
        </w:tabs>
        <w:ind w:left="5760" w:hanging="360"/>
      </w:pPr>
      <w:rPr>
        <w:rFonts w:ascii="Times New Roman" w:hAnsi="Times New Roman" w:hint="default"/>
      </w:rPr>
    </w:lvl>
    <w:lvl w:ilvl="8" w:tplc="A6D0E9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AB91288"/>
    <w:multiLevelType w:val="hybridMultilevel"/>
    <w:tmpl w:val="3BC8E6B0"/>
    <w:lvl w:ilvl="0" w:tplc="B20E6C66">
      <w:start w:val="1"/>
      <w:numFmt w:val="bullet"/>
      <w:lvlText w:val="•"/>
      <w:lvlJc w:val="left"/>
      <w:pPr>
        <w:tabs>
          <w:tab w:val="num" w:pos="720"/>
        </w:tabs>
        <w:ind w:left="720" w:hanging="360"/>
      </w:pPr>
      <w:rPr>
        <w:rFonts w:ascii="Times New Roman" w:hAnsi="Times New Roman" w:hint="default"/>
      </w:rPr>
    </w:lvl>
    <w:lvl w:ilvl="1" w:tplc="F4F0229C" w:tentative="1">
      <w:start w:val="1"/>
      <w:numFmt w:val="bullet"/>
      <w:lvlText w:val="•"/>
      <w:lvlJc w:val="left"/>
      <w:pPr>
        <w:tabs>
          <w:tab w:val="num" w:pos="1440"/>
        </w:tabs>
        <w:ind w:left="1440" w:hanging="360"/>
      </w:pPr>
      <w:rPr>
        <w:rFonts w:ascii="Times New Roman" w:hAnsi="Times New Roman" w:hint="default"/>
      </w:rPr>
    </w:lvl>
    <w:lvl w:ilvl="2" w:tplc="396EA7C2" w:tentative="1">
      <w:start w:val="1"/>
      <w:numFmt w:val="bullet"/>
      <w:lvlText w:val="•"/>
      <w:lvlJc w:val="left"/>
      <w:pPr>
        <w:tabs>
          <w:tab w:val="num" w:pos="2160"/>
        </w:tabs>
        <w:ind w:left="2160" w:hanging="360"/>
      </w:pPr>
      <w:rPr>
        <w:rFonts w:ascii="Times New Roman" w:hAnsi="Times New Roman" w:hint="default"/>
      </w:rPr>
    </w:lvl>
    <w:lvl w:ilvl="3" w:tplc="723CD166" w:tentative="1">
      <w:start w:val="1"/>
      <w:numFmt w:val="bullet"/>
      <w:lvlText w:val="•"/>
      <w:lvlJc w:val="left"/>
      <w:pPr>
        <w:tabs>
          <w:tab w:val="num" w:pos="2880"/>
        </w:tabs>
        <w:ind w:left="2880" w:hanging="360"/>
      </w:pPr>
      <w:rPr>
        <w:rFonts w:ascii="Times New Roman" w:hAnsi="Times New Roman" w:hint="default"/>
      </w:rPr>
    </w:lvl>
    <w:lvl w:ilvl="4" w:tplc="E84A1632" w:tentative="1">
      <w:start w:val="1"/>
      <w:numFmt w:val="bullet"/>
      <w:lvlText w:val="•"/>
      <w:lvlJc w:val="left"/>
      <w:pPr>
        <w:tabs>
          <w:tab w:val="num" w:pos="3600"/>
        </w:tabs>
        <w:ind w:left="3600" w:hanging="360"/>
      </w:pPr>
      <w:rPr>
        <w:rFonts w:ascii="Times New Roman" w:hAnsi="Times New Roman" w:hint="default"/>
      </w:rPr>
    </w:lvl>
    <w:lvl w:ilvl="5" w:tplc="BB3466EA" w:tentative="1">
      <w:start w:val="1"/>
      <w:numFmt w:val="bullet"/>
      <w:lvlText w:val="•"/>
      <w:lvlJc w:val="left"/>
      <w:pPr>
        <w:tabs>
          <w:tab w:val="num" w:pos="4320"/>
        </w:tabs>
        <w:ind w:left="4320" w:hanging="360"/>
      </w:pPr>
      <w:rPr>
        <w:rFonts w:ascii="Times New Roman" w:hAnsi="Times New Roman" w:hint="default"/>
      </w:rPr>
    </w:lvl>
    <w:lvl w:ilvl="6" w:tplc="9A122DF0" w:tentative="1">
      <w:start w:val="1"/>
      <w:numFmt w:val="bullet"/>
      <w:lvlText w:val="•"/>
      <w:lvlJc w:val="left"/>
      <w:pPr>
        <w:tabs>
          <w:tab w:val="num" w:pos="5040"/>
        </w:tabs>
        <w:ind w:left="5040" w:hanging="360"/>
      </w:pPr>
      <w:rPr>
        <w:rFonts w:ascii="Times New Roman" w:hAnsi="Times New Roman" w:hint="default"/>
      </w:rPr>
    </w:lvl>
    <w:lvl w:ilvl="7" w:tplc="B67E766C" w:tentative="1">
      <w:start w:val="1"/>
      <w:numFmt w:val="bullet"/>
      <w:lvlText w:val="•"/>
      <w:lvlJc w:val="left"/>
      <w:pPr>
        <w:tabs>
          <w:tab w:val="num" w:pos="5760"/>
        </w:tabs>
        <w:ind w:left="5760" w:hanging="360"/>
      </w:pPr>
      <w:rPr>
        <w:rFonts w:ascii="Times New Roman" w:hAnsi="Times New Roman" w:hint="default"/>
      </w:rPr>
    </w:lvl>
    <w:lvl w:ilvl="8" w:tplc="7E62E42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3878E0"/>
    <w:multiLevelType w:val="hybridMultilevel"/>
    <w:tmpl w:val="032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B0CD4"/>
    <w:multiLevelType w:val="hybridMultilevel"/>
    <w:tmpl w:val="A6C09E78"/>
    <w:lvl w:ilvl="0" w:tplc="F36299A2">
      <w:start w:val="1"/>
      <w:numFmt w:val="bullet"/>
      <w:lvlText w:val="•"/>
      <w:lvlJc w:val="left"/>
      <w:pPr>
        <w:tabs>
          <w:tab w:val="num" w:pos="720"/>
        </w:tabs>
        <w:ind w:left="720" w:hanging="360"/>
      </w:pPr>
      <w:rPr>
        <w:rFonts w:ascii="Arial" w:hAnsi="Arial" w:hint="default"/>
      </w:rPr>
    </w:lvl>
    <w:lvl w:ilvl="1" w:tplc="68BEC284">
      <w:numFmt w:val="bullet"/>
      <w:lvlText w:val="•"/>
      <w:lvlJc w:val="left"/>
      <w:pPr>
        <w:tabs>
          <w:tab w:val="num" w:pos="1440"/>
        </w:tabs>
        <w:ind w:left="1440" w:hanging="360"/>
      </w:pPr>
      <w:rPr>
        <w:rFonts w:ascii="Arial" w:hAnsi="Arial" w:hint="default"/>
      </w:rPr>
    </w:lvl>
    <w:lvl w:ilvl="2" w:tplc="B81A3BD4" w:tentative="1">
      <w:start w:val="1"/>
      <w:numFmt w:val="bullet"/>
      <w:lvlText w:val="•"/>
      <w:lvlJc w:val="left"/>
      <w:pPr>
        <w:tabs>
          <w:tab w:val="num" w:pos="2160"/>
        </w:tabs>
        <w:ind w:left="2160" w:hanging="360"/>
      </w:pPr>
      <w:rPr>
        <w:rFonts w:ascii="Arial" w:hAnsi="Arial" w:hint="default"/>
      </w:rPr>
    </w:lvl>
    <w:lvl w:ilvl="3" w:tplc="B8EA8356" w:tentative="1">
      <w:start w:val="1"/>
      <w:numFmt w:val="bullet"/>
      <w:lvlText w:val="•"/>
      <w:lvlJc w:val="left"/>
      <w:pPr>
        <w:tabs>
          <w:tab w:val="num" w:pos="2880"/>
        </w:tabs>
        <w:ind w:left="2880" w:hanging="360"/>
      </w:pPr>
      <w:rPr>
        <w:rFonts w:ascii="Arial" w:hAnsi="Arial" w:hint="default"/>
      </w:rPr>
    </w:lvl>
    <w:lvl w:ilvl="4" w:tplc="211204F2" w:tentative="1">
      <w:start w:val="1"/>
      <w:numFmt w:val="bullet"/>
      <w:lvlText w:val="•"/>
      <w:lvlJc w:val="left"/>
      <w:pPr>
        <w:tabs>
          <w:tab w:val="num" w:pos="3600"/>
        </w:tabs>
        <w:ind w:left="3600" w:hanging="360"/>
      </w:pPr>
      <w:rPr>
        <w:rFonts w:ascii="Arial" w:hAnsi="Arial" w:hint="default"/>
      </w:rPr>
    </w:lvl>
    <w:lvl w:ilvl="5" w:tplc="29400622" w:tentative="1">
      <w:start w:val="1"/>
      <w:numFmt w:val="bullet"/>
      <w:lvlText w:val="•"/>
      <w:lvlJc w:val="left"/>
      <w:pPr>
        <w:tabs>
          <w:tab w:val="num" w:pos="4320"/>
        </w:tabs>
        <w:ind w:left="4320" w:hanging="360"/>
      </w:pPr>
      <w:rPr>
        <w:rFonts w:ascii="Arial" w:hAnsi="Arial" w:hint="default"/>
      </w:rPr>
    </w:lvl>
    <w:lvl w:ilvl="6" w:tplc="8E389856" w:tentative="1">
      <w:start w:val="1"/>
      <w:numFmt w:val="bullet"/>
      <w:lvlText w:val="•"/>
      <w:lvlJc w:val="left"/>
      <w:pPr>
        <w:tabs>
          <w:tab w:val="num" w:pos="5040"/>
        </w:tabs>
        <w:ind w:left="5040" w:hanging="360"/>
      </w:pPr>
      <w:rPr>
        <w:rFonts w:ascii="Arial" w:hAnsi="Arial" w:hint="default"/>
      </w:rPr>
    </w:lvl>
    <w:lvl w:ilvl="7" w:tplc="89EA3D8C" w:tentative="1">
      <w:start w:val="1"/>
      <w:numFmt w:val="bullet"/>
      <w:lvlText w:val="•"/>
      <w:lvlJc w:val="left"/>
      <w:pPr>
        <w:tabs>
          <w:tab w:val="num" w:pos="5760"/>
        </w:tabs>
        <w:ind w:left="5760" w:hanging="360"/>
      </w:pPr>
      <w:rPr>
        <w:rFonts w:ascii="Arial" w:hAnsi="Arial" w:hint="default"/>
      </w:rPr>
    </w:lvl>
    <w:lvl w:ilvl="8" w:tplc="72664F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3302F4"/>
    <w:multiLevelType w:val="hybridMultilevel"/>
    <w:tmpl w:val="F4A0622E"/>
    <w:lvl w:ilvl="0" w:tplc="F91A0050">
      <w:start w:val="1"/>
      <w:numFmt w:val="bullet"/>
      <w:lvlText w:val="•"/>
      <w:lvlJc w:val="left"/>
      <w:pPr>
        <w:tabs>
          <w:tab w:val="num" w:pos="720"/>
        </w:tabs>
        <w:ind w:left="720" w:hanging="360"/>
      </w:pPr>
      <w:rPr>
        <w:rFonts w:ascii="Times New Roman" w:hAnsi="Times New Roman" w:hint="default"/>
      </w:rPr>
    </w:lvl>
    <w:lvl w:ilvl="1" w:tplc="53A8BD5E" w:tentative="1">
      <w:start w:val="1"/>
      <w:numFmt w:val="bullet"/>
      <w:lvlText w:val="•"/>
      <w:lvlJc w:val="left"/>
      <w:pPr>
        <w:tabs>
          <w:tab w:val="num" w:pos="1440"/>
        </w:tabs>
        <w:ind w:left="1440" w:hanging="360"/>
      </w:pPr>
      <w:rPr>
        <w:rFonts w:ascii="Times New Roman" w:hAnsi="Times New Roman" w:hint="default"/>
      </w:rPr>
    </w:lvl>
    <w:lvl w:ilvl="2" w:tplc="457AAF06" w:tentative="1">
      <w:start w:val="1"/>
      <w:numFmt w:val="bullet"/>
      <w:lvlText w:val="•"/>
      <w:lvlJc w:val="left"/>
      <w:pPr>
        <w:tabs>
          <w:tab w:val="num" w:pos="2160"/>
        </w:tabs>
        <w:ind w:left="2160" w:hanging="360"/>
      </w:pPr>
      <w:rPr>
        <w:rFonts w:ascii="Times New Roman" w:hAnsi="Times New Roman" w:hint="default"/>
      </w:rPr>
    </w:lvl>
    <w:lvl w:ilvl="3" w:tplc="1B24B004" w:tentative="1">
      <w:start w:val="1"/>
      <w:numFmt w:val="bullet"/>
      <w:lvlText w:val="•"/>
      <w:lvlJc w:val="left"/>
      <w:pPr>
        <w:tabs>
          <w:tab w:val="num" w:pos="2880"/>
        </w:tabs>
        <w:ind w:left="2880" w:hanging="360"/>
      </w:pPr>
      <w:rPr>
        <w:rFonts w:ascii="Times New Roman" w:hAnsi="Times New Roman" w:hint="default"/>
      </w:rPr>
    </w:lvl>
    <w:lvl w:ilvl="4" w:tplc="2ED4DC44" w:tentative="1">
      <w:start w:val="1"/>
      <w:numFmt w:val="bullet"/>
      <w:lvlText w:val="•"/>
      <w:lvlJc w:val="left"/>
      <w:pPr>
        <w:tabs>
          <w:tab w:val="num" w:pos="3600"/>
        </w:tabs>
        <w:ind w:left="3600" w:hanging="360"/>
      </w:pPr>
      <w:rPr>
        <w:rFonts w:ascii="Times New Roman" w:hAnsi="Times New Roman" w:hint="default"/>
      </w:rPr>
    </w:lvl>
    <w:lvl w:ilvl="5" w:tplc="C902E08E" w:tentative="1">
      <w:start w:val="1"/>
      <w:numFmt w:val="bullet"/>
      <w:lvlText w:val="•"/>
      <w:lvlJc w:val="left"/>
      <w:pPr>
        <w:tabs>
          <w:tab w:val="num" w:pos="4320"/>
        </w:tabs>
        <w:ind w:left="4320" w:hanging="360"/>
      </w:pPr>
      <w:rPr>
        <w:rFonts w:ascii="Times New Roman" w:hAnsi="Times New Roman" w:hint="default"/>
      </w:rPr>
    </w:lvl>
    <w:lvl w:ilvl="6" w:tplc="42089AC2" w:tentative="1">
      <w:start w:val="1"/>
      <w:numFmt w:val="bullet"/>
      <w:lvlText w:val="•"/>
      <w:lvlJc w:val="left"/>
      <w:pPr>
        <w:tabs>
          <w:tab w:val="num" w:pos="5040"/>
        </w:tabs>
        <w:ind w:left="5040" w:hanging="360"/>
      </w:pPr>
      <w:rPr>
        <w:rFonts w:ascii="Times New Roman" w:hAnsi="Times New Roman" w:hint="default"/>
      </w:rPr>
    </w:lvl>
    <w:lvl w:ilvl="7" w:tplc="77FC5D38" w:tentative="1">
      <w:start w:val="1"/>
      <w:numFmt w:val="bullet"/>
      <w:lvlText w:val="•"/>
      <w:lvlJc w:val="left"/>
      <w:pPr>
        <w:tabs>
          <w:tab w:val="num" w:pos="5760"/>
        </w:tabs>
        <w:ind w:left="5760" w:hanging="360"/>
      </w:pPr>
      <w:rPr>
        <w:rFonts w:ascii="Times New Roman" w:hAnsi="Times New Roman" w:hint="default"/>
      </w:rPr>
    </w:lvl>
    <w:lvl w:ilvl="8" w:tplc="B04E4C9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9"/>
  </w:num>
  <w:num w:numId="3">
    <w:abstractNumId w:val="6"/>
  </w:num>
  <w:num w:numId="4">
    <w:abstractNumId w:val="12"/>
  </w:num>
  <w:num w:numId="5">
    <w:abstractNumId w:val="13"/>
  </w:num>
  <w:num w:numId="6">
    <w:abstractNumId w:val="3"/>
  </w:num>
  <w:num w:numId="7">
    <w:abstractNumId w:val="5"/>
  </w:num>
  <w:num w:numId="8">
    <w:abstractNumId w:val="0"/>
  </w:num>
  <w:num w:numId="9">
    <w:abstractNumId w:val="7"/>
  </w:num>
  <w:num w:numId="10">
    <w:abstractNumId w:val="11"/>
  </w:num>
  <w:num w:numId="11">
    <w:abstractNumId w:val="10"/>
  </w:num>
  <w:num w:numId="12">
    <w:abstractNumId w:val="14"/>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7C"/>
    <w:rsid w:val="000059F7"/>
    <w:rsid w:val="00007474"/>
    <w:rsid w:val="00030158"/>
    <w:rsid w:val="00032FBF"/>
    <w:rsid w:val="000446D0"/>
    <w:rsid w:val="000468C2"/>
    <w:rsid w:val="00062D3A"/>
    <w:rsid w:val="00064F49"/>
    <w:rsid w:val="00083EE7"/>
    <w:rsid w:val="00085284"/>
    <w:rsid w:val="000A0417"/>
    <w:rsid w:val="000A792B"/>
    <w:rsid w:val="000D4D14"/>
    <w:rsid w:val="000E07E8"/>
    <w:rsid w:val="000E1B45"/>
    <w:rsid w:val="000F1410"/>
    <w:rsid w:val="000F73E5"/>
    <w:rsid w:val="00101F89"/>
    <w:rsid w:val="00115D77"/>
    <w:rsid w:val="00130A58"/>
    <w:rsid w:val="0013738D"/>
    <w:rsid w:val="001403B3"/>
    <w:rsid w:val="001404ED"/>
    <w:rsid w:val="00143891"/>
    <w:rsid w:val="00145339"/>
    <w:rsid w:val="00146394"/>
    <w:rsid w:val="00147067"/>
    <w:rsid w:val="001503F7"/>
    <w:rsid w:val="00153EE0"/>
    <w:rsid w:val="0016066E"/>
    <w:rsid w:val="00172EC9"/>
    <w:rsid w:val="00185438"/>
    <w:rsid w:val="0018744A"/>
    <w:rsid w:val="00197699"/>
    <w:rsid w:val="001A5685"/>
    <w:rsid w:val="001B00A1"/>
    <w:rsid w:val="001C2A59"/>
    <w:rsid w:val="001E1AE2"/>
    <w:rsid w:val="001E6DBB"/>
    <w:rsid w:val="001F0453"/>
    <w:rsid w:val="00205A0F"/>
    <w:rsid w:val="00211403"/>
    <w:rsid w:val="00223E5B"/>
    <w:rsid w:val="0023786E"/>
    <w:rsid w:val="002605F4"/>
    <w:rsid w:val="002655A3"/>
    <w:rsid w:val="00285905"/>
    <w:rsid w:val="002A376F"/>
    <w:rsid w:val="002C6B6D"/>
    <w:rsid w:val="002C7E1D"/>
    <w:rsid w:val="002F58E1"/>
    <w:rsid w:val="002F79DA"/>
    <w:rsid w:val="00307C98"/>
    <w:rsid w:val="00317296"/>
    <w:rsid w:val="00320405"/>
    <w:rsid w:val="00335F73"/>
    <w:rsid w:val="003427B5"/>
    <w:rsid w:val="0035111D"/>
    <w:rsid w:val="00357D75"/>
    <w:rsid w:val="00362B0A"/>
    <w:rsid w:val="00375A3C"/>
    <w:rsid w:val="0039530F"/>
    <w:rsid w:val="003962E8"/>
    <w:rsid w:val="00396330"/>
    <w:rsid w:val="003A5015"/>
    <w:rsid w:val="003A5D0B"/>
    <w:rsid w:val="003C0A6D"/>
    <w:rsid w:val="003D4ECC"/>
    <w:rsid w:val="003D7DCE"/>
    <w:rsid w:val="003E441F"/>
    <w:rsid w:val="003F69ED"/>
    <w:rsid w:val="00420861"/>
    <w:rsid w:val="00426281"/>
    <w:rsid w:val="004376C9"/>
    <w:rsid w:val="0044119F"/>
    <w:rsid w:val="00456509"/>
    <w:rsid w:val="00461D66"/>
    <w:rsid w:val="00496C11"/>
    <w:rsid w:val="00497295"/>
    <w:rsid w:val="004C14BA"/>
    <w:rsid w:val="004C17F7"/>
    <w:rsid w:val="004D6EB1"/>
    <w:rsid w:val="004E2817"/>
    <w:rsid w:val="004E3197"/>
    <w:rsid w:val="004F6E17"/>
    <w:rsid w:val="00503270"/>
    <w:rsid w:val="00522A6E"/>
    <w:rsid w:val="00532A43"/>
    <w:rsid w:val="005341FF"/>
    <w:rsid w:val="00540BA0"/>
    <w:rsid w:val="005411C8"/>
    <w:rsid w:val="00542ADF"/>
    <w:rsid w:val="00561A15"/>
    <w:rsid w:val="005639D3"/>
    <w:rsid w:val="00566B90"/>
    <w:rsid w:val="00592ED1"/>
    <w:rsid w:val="00593419"/>
    <w:rsid w:val="005A0F68"/>
    <w:rsid w:val="005A7BA7"/>
    <w:rsid w:val="005B78C6"/>
    <w:rsid w:val="005C6946"/>
    <w:rsid w:val="005D3AF5"/>
    <w:rsid w:val="005E0A8A"/>
    <w:rsid w:val="00617C11"/>
    <w:rsid w:val="006248AE"/>
    <w:rsid w:val="00627BC4"/>
    <w:rsid w:val="006363EB"/>
    <w:rsid w:val="006478DD"/>
    <w:rsid w:val="00670CEA"/>
    <w:rsid w:val="00676273"/>
    <w:rsid w:val="006C2FE7"/>
    <w:rsid w:val="006C42CB"/>
    <w:rsid w:val="006D0693"/>
    <w:rsid w:val="006E1868"/>
    <w:rsid w:val="006E48E8"/>
    <w:rsid w:val="006E64AC"/>
    <w:rsid w:val="006F305B"/>
    <w:rsid w:val="006F4E6E"/>
    <w:rsid w:val="006F5BD3"/>
    <w:rsid w:val="006F5E49"/>
    <w:rsid w:val="006F7CA4"/>
    <w:rsid w:val="007161F3"/>
    <w:rsid w:val="00727684"/>
    <w:rsid w:val="00731E53"/>
    <w:rsid w:val="00733433"/>
    <w:rsid w:val="00740273"/>
    <w:rsid w:val="007407C6"/>
    <w:rsid w:val="00741876"/>
    <w:rsid w:val="007448EB"/>
    <w:rsid w:val="007741D2"/>
    <w:rsid w:val="00780A96"/>
    <w:rsid w:val="00783799"/>
    <w:rsid w:val="007C1F09"/>
    <w:rsid w:val="007C440E"/>
    <w:rsid w:val="007C62D0"/>
    <w:rsid w:val="007D1EB8"/>
    <w:rsid w:val="007D2658"/>
    <w:rsid w:val="007E50FE"/>
    <w:rsid w:val="007F0E07"/>
    <w:rsid w:val="007F2809"/>
    <w:rsid w:val="007F3C9F"/>
    <w:rsid w:val="007F5CF7"/>
    <w:rsid w:val="0080051F"/>
    <w:rsid w:val="00800A28"/>
    <w:rsid w:val="0080314C"/>
    <w:rsid w:val="0080326C"/>
    <w:rsid w:val="0080534A"/>
    <w:rsid w:val="0081036A"/>
    <w:rsid w:val="008175E6"/>
    <w:rsid w:val="008301A3"/>
    <w:rsid w:val="008329A7"/>
    <w:rsid w:val="0083514D"/>
    <w:rsid w:val="00844AE0"/>
    <w:rsid w:val="00855442"/>
    <w:rsid w:val="00861876"/>
    <w:rsid w:val="0086352E"/>
    <w:rsid w:val="00867083"/>
    <w:rsid w:val="00867BBE"/>
    <w:rsid w:val="008870B1"/>
    <w:rsid w:val="00891FB8"/>
    <w:rsid w:val="008A19F1"/>
    <w:rsid w:val="008D5D5D"/>
    <w:rsid w:val="008E592B"/>
    <w:rsid w:val="00900950"/>
    <w:rsid w:val="009009CC"/>
    <w:rsid w:val="00900C47"/>
    <w:rsid w:val="009059BE"/>
    <w:rsid w:val="00915762"/>
    <w:rsid w:val="0092620C"/>
    <w:rsid w:val="00955C0B"/>
    <w:rsid w:val="009606C5"/>
    <w:rsid w:val="00967557"/>
    <w:rsid w:val="00993379"/>
    <w:rsid w:val="009A11EC"/>
    <w:rsid w:val="009B67F0"/>
    <w:rsid w:val="009C40E8"/>
    <w:rsid w:val="009E2605"/>
    <w:rsid w:val="009F79E7"/>
    <w:rsid w:val="00A12A90"/>
    <w:rsid w:val="00A165FA"/>
    <w:rsid w:val="00A42B92"/>
    <w:rsid w:val="00A63DD5"/>
    <w:rsid w:val="00A76EC1"/>
    <w:rsid w:val="00A83730"/>
    <w:rsid w:val="00A86355"/>
    <w:rsid w:val="00A86D1B"/>
    <w:rsid w:val="00A96261"/>
    <w:rsid w:val="00AA5E03"/>
    <w:rsid w:val="00AD512A"/>
    <w:rsid w:val="00AF7188"/>
    <w:rsid w:val="00B04BEB"/>
    <w:rsid w:val="00B06908"/>
    <w:rsid w:val="00B15044"/>
    <w:rsid w:val="00B166DF"/>
    <w:rsid w:val="00B20D2A"/>
    <w:rsid w:val="00B26477"/>
    <w:rsid w:val="00B3757D"/>
    <w:rsid w:val="00B5137C"/>
    <w:rsid w:val="00B73245"/>
    <w:rsid w:val="00B73DDA"/>
    <w:rsid w:val="00B75BFA"/>
    <w:rsid w:val="00B76FE7"/>
    <w:rsid w:val="00B77BE0"/>
    <w:rsid w:val="00B83013"/>
    <w:rsid w:val="00B869D3"/>
    <w:rsid w:val="00B96147"/>
    <w:rsid w:val="00BA4B20"/>
    <w:rsid w:val="00BF71D8"/>
    <w:rsid w:val="00BF7371"/>
    <w:rsid w:val="00C06027"/>
    <w:rsid w:val="00C411B7"/>
    <w:rsid w:val="00C504EC"/>
    <w:rsid w:val="00C536BC"/>
    <w:rsid w:val="00C55F08"/>
    <w:rsid w:val="00C64DD5"/>
    <w:rsid w:val="00C80F79"/>
    <w:rsid w:val="00C82A88"/>
    <w:rsid w:val="00C841F0"/>
    <w:rsid w:val="00C84653"/>
    <w:rsid w:val="00C93174"/>
    <w:rsid w:val="00CE0B53"/>
    <w:rsid w:val="00CE1BD2"/>
    <w:rsid w:val="00CE3103"/>
    <w:rsid w:val="00CE791E"/>
    <w:rsid w:val="00D02341"/>
    <w:rsid w:val="00D057B1"/>
    <w:rsid w:val="00D0705E"/>
    <w:rsid w:val="00D11792"/>
    <w:rsid w:val="00D13880"/>
    <w:rsid w:val="00D16E4D"/>
    <w:rsid w:val="00D23F49"/>
    <w:rsid w:val="00D272CF"/>
    <w:rsid w:val="00D30A0B"/>
    <w:rsid w:val="00D40421"/>
    <w:rsid w:val="00D41320"/>
    <w:rsid w:val="00D45E0E"/>
    <w:rsid w:val="00D5214F"/>
    <w:rsid w:val="00D55FC5"/>
    <w:rsid w:val="00D62099"/>
    <w:rsid w:val="00D81107"/>
    <w:rsid w:val="00D843C5"/>
    <w:rsid w:val="00D95AE6"/>
    <w:rsid w:val="00DA5BB1"/>
    <w:rsid w:val="00E02434"/>
    <w:rsid w:val="00E03081"/>
    <w:rsid w:val="00E138E5"/>
    <w:rsid w:val="00E22CB0"/>
    <w:rsid w:val="00E242FA"/>
    <w:rsid w:val="00E27240"/>
    <w:rsid w:val="00E335C8"/>
    <w:rsid w:val="00E33CFE"/>
    <w:rsid w:val="00E45316"/>
    <w:rsid w:val="00E5286C"/>
    <w:rsid w:val="00E54005"/>
    <w:rsid w:val="00E57CB3"/>
    <w:rsid w:val="00E60CC3"/>
    <w:rsid w:val="00E75AAF"/>
    <w:rsid w:val="00E82FC5"/>
    <w:rsid w:val="00E948AC"/>
    <w:rsid w:val="00EA3886"/>
    <w:rsid w:val="00EA42AD"/>
    <w:rsid w:val="00EB0567"/>
    <w:rsid w:val="00ED3442"/>
    <w:rsid w:val="00ED59EC"/>
    <w:rsid w:val="00EF5DBD"/>
    <w:rsid w:val="00F0248B"/>
    <w:rsid w:val="00F110EE"/>
    <w:rsid w:val="00F52A73"/>
    <w:rsid w:val="00F62F28"/>
    <w:rsid w:val="00F702E4"/>
    <w:rsid w:val="00F70BB8"/>
    <w:rsid w:val="00F827BB"/>
    <w:rsid w:val="00F82F64"/>
    <w:rsid w:val="00F861AE"/>
    <w:rsid w:val="00FC6F0D"/>
    <w:rsid w:val="00FD435A"/>
    <w:rsid w:val="00FD6D3C"/>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6429A"/>
  <w15:chartTrackingRefBased/>
  <w15:docId w15:val="{EBA84836-68A6-4720-83D0-76690705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62626" w:themeColor="text1" w:themeTint="D9"/>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71"/>
    <w:pPr>
      <w:tabs>
        <w:tab w:val="center" w:pos="4680"/>
        <w:tab w:val="right" w:pos="9360"/>
      </w:tabs>
    </w:pPr>
  </w:style>
  <w:style w:type="character" w:customStyle="1" w:styleId="HeaderChar">
    <w:name w:val="Header Char"/>
    <w:basedOn w:val="DefaultParagraphFont"/>
    <w:link w:val="Header"/>
    <w:uiPriority w:val="99"/>
    <w:rsid w:val="00BF7371"/>
  </w:style>
  <w:style w:type="paragraph" w:styleId="Footer">
    <w:name w:val="footer"/>
    <w:basedOn w:val="Normal"/>
    <w:link w:val="FooterChar"/>
    <w:uiPriority w:val="99"/>
    <w:unhideWhenUsed/>
    <w:rsid w:val="00BF7371"/>
    <w:pPr>
      <w:tabs>
        <w:tab w:val="center" w:pos="4680"/>
        <w:tab w:val="right" w:pos="9360"/>
      </w:tabs>
    </w:pPr>
  </w:style>
  <w:style w:type="character" w:customStyle="1" w:styleId="FooterChar">
    <w:name w:val="Footer Char"/>
    <w:basedOn w:val="DefaultParagraphFont"/>
    <w:link w:val="Footer"/>
    <w:uiPriority w:val="99"/>
    <w:rsid w:val="00BF7371"/>
  </w:style>
  <w:style w:type="table" w:styleId="TableGrid">
    <w:name w:val="Table Grid"/>
    <w:basedOn w:val="TableNormal"/>
    <w:uiPriority w:val="39"/>
    <w:rsid w:val="00EB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51F"/>
    <w:pPr>
      <w:ind w:left="720"/>
      <w:contextualSpacing/>
    </w:pPr>
  </w:style>
  <w:style w:type="paragraph" w:styleId="BodyText">
    <w:name w:val="Body Text"/>
    <w:basedOn w:val="Normal"/>
    <w:link w:val="BodyTextChar"/>
    <w:uiPriority w:val="1"/>
    <w:qFormat/>
    <w:rsid w:val="007D1EB8"/>
    <w:pPr>
      <w:autoSpaceDE w:val="0"/>
      <w:autoSpaceDN w:val="0"/>
      <w:adjustRightInd w:val="0"/>
      <w:spacing w:before="160"/>
      <w:ind w:left="40" w:firstLine="360"/>
    </w:pPr>
    <w:rPr>
      <w:rFonts w:ascii="Times New Roman" w:hAnsi="Times New Roman" w:cs="Times New Roman"/>
    </w:rPr>
  </w:style>
  <w:style w:type="character" w:customStyle="1" w:styleId="BodyTextChar">
    <w:name w:val="Body Text Char"/>
    <w:basedOn w:val="DefaultParagraphFont"/>
    <w:link w:val="BodyText"/>
    <w:uiPriority w:val="1"/>
    <w:rsid w:val="007D1EB8"/>
    <w:rPr>
      <w:rFonts w:ascii="Times New Roman" w:hAnsi="Times New Roman" w:cs="Times New Roman"/>
    </w:rPr>
  </w:style>
  <w:style w:type="character" w:styleId="CommentReference">
    <w:name w:val="annotation reference"/>
    <w:basedOn w:val="DefaultParagraphFont"/>
    <w:uiPriority w:val="99"/>
    <w:semiHidden/>
    <w:unhideWhenUsed/>
    <w:rsid w:val="00E45316"/>
    <w:rPr>
      <w:sz w:val="16"/>
      <w:szCs w:val="16"/>
    </w:rPr>
  </w:style>
  <w:style w:type="paragraph" w:styleId="CommentText">
    <w:name w:val="annotation text"/>
    <w:basedOn w:val="Normal"/>
    <w:link w:val="CommentTextChar"/>
    <w:uiPriority w:val="99"/>
    <w:semiHidden/>
    <w:unhideWhenUsed/>
    <w:rsid w:val="00E45316"/>
    <w:rPr>
      <w:sz w:val="20"/>
      <w:szCs w:val="20"/>
    </w:rPr>
  </w:style>
  <w:style w:type="character" w:customStyle="1" w:styleId="CommentTextChar">
    <w:name w:val="Comment Text Char"/>
    <w:basedOn w:val="DefaultParagraphFont"/>
    <w:link w:val="CommentText"/>
    <w:uiPriority w:val="99"/>
    <w:semiHidden/>
    <w:rsid w:val="00E45316"/>
    <w:rPr>
      <w:sz w:val="20"/>
      <w:szCs w:val="20"/>
    </w:rPr>
  </w:style>
  <w:style w:type="paragraph" w:styleId="CommentSubject">
    <w:name w:val="annotation subject"/>
    <w:basedOn w:val="CommentText"/>
    <w:next w:val="CommentText"/>
    <w:link w:val="CommentSubjectChar"/>
    <w:uiPriority w:val="99"/>
    <w:semiHidden/>
    <w:unhideWhenUsed/>
    <w:rsid w:val="00E45316"/>
    <w:rPr>
      <w:b/>
      <w:bCs/>
    </w:rPr>
  </w:style>
  <w:style w:type="character" w:customStyle="1" w:styleId="CommentSubjectChar">
    <w:name w:val="Comment Subject Char"/>
    <w:basedOn w:val="CommentTextChar"/>
    <w:link w:val="CommentSubject"/>
    <w:uiPriority w:val="99"/>
    <w:semiHidden/>
    <w:rsid w:val="00E45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7757">
      <w:bodyDiv w:val="1"/>
      <w:marLeft w:val="0"/>
      <w:marRight w:val="0"/>
      <w:marTop w:val="0"/>
      <w:marBottom w:val="0"/>
      <w:divBdr>
        <w:top w:val="none" w:sz="0" w:space="0" w:color="auto"/>
        <w:left w:val="none" w:sz="0" w:space="0" w:color="auto"/>
        <w:bottom w:val="none" w:sz="0" w:space="0" w:color="auto"/>
        <w:right w:val="none" w:sz="0" w:space="0" w:color="auto"/>
      </w:divBdr>
      <w:divsChild>
        <w:div w:id="1728213657">
          <w:marLeft w:val="547"/>
          <w:marRight w:val="0"/>
          <w:marTop w:val="0"/>
          <w:marBottom w:val="0"/>
          <w:divBdr>
            <w:top w:val="none" w:sz="0" w:space="0" w:color="auto"/>
            <w:left w:val="none" w:sz="0" w:space="0" w:color="auto"/>
            <w:bottom w:val="none" w:sz="0" w:space="0" w:color="auto"/>
            <w:right w:val="none" w:sz="0" w:space="0" w:color="auto"/>
          </w:divBdr>
        </w:div>
      </w:divsChild>
    </w:div>
    <w:div w:id="249703244">
      <w:bodyDiv w:val="1"/>
      <w:marLeft w:val="0"/>
      <w:marRight w:val="0"/>
      <w:marTop w:val="0"/>
      <w:marBottom w:val="0"/>
      <w:divBdr>
        <w:top w:val="none" w:sz="0" w:space="0" w:color="auto"/>
        <w:left w:val="none" w:sz="0" w:space="0" w:color="auto"/>
        <w:bottom w:val="none" w:sz="0" w:space="0" w:color="auto"/>
        <w:right w:val="none" w:sz="0" w:space="0" w:color="auto"/>
      </w:divBdr>
      <w:divsChild>
        <w:div w:id="2038505496">
          <w:marLeft w:val="360"/>
          <w:marRight w:val="0"/>
          <w:marTop w:val="200"/>
          <w:marBottom w:val="200"/>
          <w:divBdr>
            <w:top w:val="none" w:sz="0" w:space="0" w:color="auto"/>
            <w:left w:val="none" w:sz="0" w:space="0" w:color="auto"/>
            <w:bottom w:val="none" w:sz="0" w:space="0" w:color="auto"/>
            <w:right w:val="none" w:sz="0" w:space="0" w:color="auto"/>
          </w:divBdr>
        </w:div>
        <w:div w:id="1693410948">
          <w:marLeft w:val="1080"/>
          <w:marRight w:val="0"/>
          <w:marTop w:val="100"/>
          <w:marBottom w:val="200"/>
          <w:divBdr>
            <w:top w:val="none" w:sz="0" w:space="0" w:color="auto"/>
            <w:left w:val="none" w:sz="0" w:space="0" w:color="auto"/>
            <w:bottom w:val="none" w:sz="0" w:space="0" w:color="auto"/>
            <w:right w:val="none" w:sz="0" w:space="0" w:color="auto"/>
          </w:divBdr>
        </w:div>
        <w:div w:id="2055696369">
          <w:marLeft w:val="360"/>
          <w:marRight w:val="0"/>
          <w:marTop w:val="200"/>
          <w:marBottom w:val="200"/>
          <w:divBdr>
            <w:top w:val="none" w:sz="0" w:space="0" w:color="auto"/>
            <w:left w:val="none" w:sz="0" w:space="0" w:color="auto"/>
            <w:bottom w:val="none" w:sz="0" w:space="0" w:color="auto"/>
            <w:right w:val="none" w:sz="0" w:space="0" w:color="auto"/>
          </w:divBdr>
        </w:div>
      </w:divsChild>
    </w:div>
    <w:div w:id="962855043">
      <w:bodyDiv w:val="1"/>
      <w:marLeft w:val="0"/>
      <w:marRight w:val="0"/>
      <w:marTop w:val="0"/>
      <w:marBottom w:val="0"/>
      <w:divBdr>
        <w:top w:val="none" w:sz="0" w:space="0" w:color="auto"/>
        <w:left w:val="none" w:sz="0" w:space="0" w:color="auto"/>
        <w:bottom w:val="none" w:sz="0" w:space="0" w:color="auto"/>
        <w:right w:val="none" w:sz="0" w:space="0" w:color="auto"/>
      </w:divBdr>
      <w:divsChild>
        <w:div w:id="1991709982">
          <w:marLeft w:val="360"/>
          <w:marRight w:val="0"/>
          <w:marTop w:val="200"/>
          <w:marBottom w:val="200"/>
          <w:divBdr>
            <w:top w:val="none" w:sz="0" w:space="0" w:color="auto"/>
            <w:left w:val="none" w:sz="0" w:space="0" w:color="auto"/>
            <w:bottom w:val="none" w:sz="0" w:space="0" w:color="auto"/>
            <w:right w:val="none" w:sz="0" w:space="0" w:color="auto"/>
          </w:divBdr>
        </w:div>
        <w:div w:id="112989976">
          <w:marLeft w:val="1080"/>
          <w:marRight w:val="0"/>
          <w:marTop w:val="100"/>
          <w:marBottom w:val="200"/>
          <w:divBdr>
            <w:top w:val="none" w:sz="0" w:space="0" w:color="auto"/>
            <w:left w:val="none" w:sz="0" w:space="0" w:color="auto"/>
            <w:bottom w:val="none" w:sz="0" w:space="0" w:color="auto"/>
            <w:right w:val="none" w:sz="0" w:space="0" w:color="auto"/>
          </w:divBdr>
        </w:div>
        <w:div w:id="928390201">
          <w:marLeft w:val="360"/>
          <w:marRight w:val="0"/>
          <w:marTop w:val="200"/>
          <w:marBottom w:val="200"/>
          <w:divBdr>
            <w:top w:val="none" w:sz="0" w:space="0" w:color="auto"/>
            <w:left w:val="none" w:sz="0" w:space="0" w:color="auto"/>
            <w:bottom w:val="none" w:sz="0" w:space="0" w:color="auto"/>
            <w:right w:val="none" w:sz="0" w:space="0" w:color="auto"/>
          </w:divBdr>
        </w:div>
      </w:divsChild>
    </w:div>
    <w:div w:id="1213224693">
      <w:bodyDiv w:val="1"/>
      <w:marLeft w:val="0"/>
      <w:marRight w:val="0"/>
      <w:marTop w:val="0"/>
      <w:marBottom w:val="0"/>
      <w:divBdr>
        <w:top w:val="none" w:sz="0" w:space="0" w:color="auto"/>
        <w:left w:val="none" w:sz="0" w:space="0" w:color="auto"/>
        <w:bottom w:val="none" w:sz="0" w:space="0" w:color="auto"/>
        <w:right w:val="none" w:sz="0" w:space="0" w:color="auto"/>
      </w:divBdr>
    </w:div>
    <w:div w:id="1276399477">
      <w:bodyDiv w:val="1"/>
      <w:marLeft w:val="0"/>
      <w:marRight w:val="0"/>
      <w:marTop w:val="0"/>
      <w:marBottom w:val="0"/>
      <w:divBdr>
        <w:top w:val="none" w:sz="0" w:space="0" w:color="auto"/>
        <w:left w:val="none" w:sz="0" w:space="0" w:color="auto"/>
        <w:bottom w:val="none" w:sz="0" w:space="0" w:color="auto"/>
        <w:right w:val="none" w:sz="0" w:space="0" w:color="auto"/>
      </w:divBdr>
      <w:divsChild>
        <w:div w:id="1374185524">
          <w:marLeft w:val="547"/>
          <w:marRight w:val="0"/>
          <w:marTop w:val="0"/>
          <w:marBottom w:val="0"/>
          <w:divBdr>
            <w:top w:val="none" w:sz="0" w:space="0" w:color="auto"/>
            <w:left w:val="none" w:sz="0" w:space="0" w:color="auto"/>
            <w:bottom w:val="none" w:sz="0" w:space="0" w:color="auto"/>
            <w:right w:val="none" w:sz="0" w:space="0" w:color="auto"/>
          </w:divBdr>
        </w:div>
      </w:divsChild>
    </w:div>
    <w:div w:id="1286502159">
      <w:bodyDiv w:val="1"/>
      <w:marLeft w:val="0"/>
      <w:marRight w:val="0"/>
      <w:marTop w:val="0"/>
      <w:marBottom w:val="0"/>
      <w:divBdr>
        <w:top w:val="none" w:sz="0" w:space="0" w:color="auto"/>
        <w:left w:val="none" w:sz="0" w:space="0" w:color="auto"/>
        <w:bottom w:val="none" w:sz="0" w:space="0" w:color="auto"/>
        <w:right w:val="none" w:sz="0" w:space="0" w:color="auto"/>
      </w:divBdr>
      <w:divsChild>
        <w:div w:id="196891811">
          <w:marLeft w:val="360"/>
          <w:marRight w:val="0"/>
          <w:marTop w:val="200"/>
          <w:marBottom w:val="200"/>
          <w:divBdr>
            <w:top w:val="none" w:sz="0" w:space="0" w:color="auto"/>
            <w:left w:val="none" w:sz="0" w:space="0" w:color="auto"/>
            <w:bottom w:val="none" w:sz="0" w:space="0" w:color="auto"/>
            <w:right w:val="none" w:sz="0" w:space="0" w:color="auto"/>
          </w:divBdr>
        </w:div>
        <w:div w:id="1146580818">
          <w:marLeft w:val="1080"/>
          <w:marRight w:val="0"/>
          <w:marTop w:val="100"/>
          <w:marBottom w:val="200"/>
          <w:divBdr>
            <w:top w:val="none" w:sz="0" w:space="0" w:color="auto"/>
            <w:left w:val="none" w:sz="0" w:space="0" w:color="auto"/>
            <w:bottom w:val="none" w:sz="0" w:space="0" w:color="auto"/>
            <w:right w:val="none" w:sz="0" w:space="0" w:color="auto"/>
          </w:divBdr>
        </w:div>
        <w:div w:id="36899719">
          <w:marLeft w:val="360"/>
          <w:marRight w:val="0"/>
          <w:marTop w:val="200"/>
          <w:marBottom w:val="200"/>
          <w:divBdr>
            <w:top w:val="none" w:sz="0" w:space="0" w:color="auto"/>
            <w:left w:val="none" w:sz="0" w:space="0" w:color="auto"/>
            <w:bottom w:val="none" w:sz="0" w:space="0" w:color="auto"/>
            <w:right w:val="none" w:sz="0" w:space="0" w:color="auto"/>
          </w:divBdr>
        </w:div>
      </w:divsChild>
    </w:div>
    <w:div w:id="1393038727">
      <w:bodyDiv w:val="1"/>
      <w:marLeft w:val="0"/>
      <w:marRight w:val="0"/>
      <w:marTop w:val="0"/>
      <w:marBottom w:val="0"/>
      <w:divBdr>
        <w:top w:val="none" w:sz="0" w:space="0" w:color="auto"/>
        <w:left w:val="none" w:sz="0" w:space="0" w:color="auto"/>
        <w:bottom w:val="none" w:sz="0" w:space="0" w:color="auto"/>
        <w:right w:val="none" w:sz="0" w:space="0" w:color="auto"/>
      </w:divBdr>
      <w:divsChild>
        <w:div w:id="1070611830">
          <w:marLeft w:val="360"/>
          <w:marRight w:val="0"/>
          <w:marTop w:val="200"/>
          <w:marBottom w:val="200"/>
          <w:divBdr>
            <w:top w:val="none" w:sz="0" w:space="0" w:color="auto"/>
            <w:left w:val="none" w:sz="0" w:space="0" w:color="auto"/>
            <w:bottom w:val="none" w:sz="0" w:space="0" w:color="auto"/>
            <w:right w:val="none" w:sz="0" w:space="0" w:color="auto"/>
          </w:divBdr>
        </w:div>
        <w:div w:id="746418935">
          <w:marLeft w:val="360"/>
          <w:marRight w:val="0"/>
          <w:marTop w:val="200"/>
          <w:marBottom w:val="200"/>
          <w:divBdr>
            <w:top w:val="none" w:sz="0" w:space="0" w:color="auto"/>
            <w:left w:val="none" w:sz="0" w:space="0" w:color="auto"/>
            <w:bottom w:val="none" w:sz="0" w:space="0" w:color="auto"/>
            <w:right w:val="none" w:sz="0" w:space="0" w:color="auto"/>
          </w:divBdr>
        </w:div>
        <w:div w:id="404567899">
          <w:marLeft w:val="360"/>
          <w:marRight w:val="0"/>
          <w:marTop w:val="200"/>
          <w:marBottom w:val="200"/>
          <w:divBdr>
            <w:top w:val="none" w:sz="0" w:space="0" w:color="auto"/>
            <w:left w:val="none" w:sz="0" w:space="0" w:color="auto"/>
            <w:bottom w:val="none" w:sz="0" w:space="0" w:color="auto"/>
            <w:right w:val="none" w:sz="0" w:space="0" w:color="auto"/>
          </w:divBdr>
        </w:div>
        <w:div w:id="1839417897">
          <w:marLeft w:val="360"/>
          <w:marRight w:val="0"/>
          <w:marTop w:val="200"/>
          <w:marBottom w:val="200"/>
          <w:divBdr>
            <w:top w:val="none" w:sz="0" w:space="0" w:color="auto"/>
            <w:left w:val="none" w:sz="0" w:space="0" w:color="auto"/>
            <w:bottom w:val="none" w:sz="0" w:space="0" w:color="auto"/>
            <w:right w:val="none" w:sz="0" w:space="0" w:color="auto"/>
          </w:divBdr>
        </w:div>
        <w:div w:id="783816170">
          <w:marLeft w:val="360"/>
          <w:marRight w:val="0"/>
          <w:marTop w:val="200"/>
          <w:marBottom w:val="200"/>
          <w:divBdr>
            <w:top w:val="none" w:sz="0" w:space="0" w:color="auto"/>
            <w:left w:val="none" w:sz="0" w:space="0" w:color="auto"/>
            <w:bottom w:val="none" w:sz="0" w:space="0" w:color="auto"/>
            <w:right w:val="none" w:sz="0" w:space="0" w:color="auto"/>
          </w:divBdr>
        </w:div>
      </w:divsChild>
    </w:div>
    <w:div w:id="1487817727">
      <w:bodyDiv w:val="1"/>
      <w:marLeft w:val="0"/>
      <w:marRight w:val="0"/>
      <w:marTop w:val="0"/>
      <w:marBottom w:val="0"/>
      <w:divBdr>
        <w:top w:val="none" w:sz="0" w:space="0" w:color="auto"/>
        <w:left w:val="none" w:sz="0" w:space="0" w:color="auto"/>
        <w:bottom w:val="none" w:sz="0" w:space="0" w:color="auto"/>
        <w:right w:val="none" w:sz="0" w:space="0" w:color="auto"/>
      </w:divBdr>
      <w:divsChild>
        <w:div w:id="1812752797">
          <w:marLeft w:val="547"/>
          <w:marRight w:val="0"/>
          <w:marTop w:val="0"/>
          <w:marBottom w:val="0"/>
          <w:divBdr>
            <w:top w:val="none" w:sz="0" w:space="0" w:color="auto"/>
            <w:left w:val="none" w:sz="0" w:space="0" w:color="auto"/>
            <w:bottom w:val="none" w:sz="0" w:space="0" w:color="auto"/>
            <w:right w:val="none" w:sz="0" w:space="0" w:color="auto"/>
          </w:divBdr>
        </w:div>
      </w:divsChild>
    </w:div>
    <w:div w:id="1489595556">
      <w:bodyDiv w:val="1"/>
      <w:marLeft w:val="0"/>
      <w:marRight w:val="0"/>
      <w:marTop w:val="0"/>
      <w:marBottom w:val="0"/>
      <w:divBdr>
        <w:top w:val="none" w:sz="0" w:space="0" w:color="auto"/>
        <w:left w:val="none" w:sz="0" w:space="0" w:color="auto"/>
        <w:bottom w:val="none" w:sz="0" w:space="0" w:color="auto"/>
        <w:right w:val="none" w:sz="0" w:space="0" w:color="auto"/>
      </w:divBdr>
      <w:divsChild>
        <w:div w:id="829759889">
          <w:marLeft w:val="547"/>
          <w:marRight w:val="0"/>
          <w:marTop w:val="0"/>
          <w:marBottom w:val="0"/>
          <w:divBdr>
            <w:top w:val="none" w:sz="0" w:space="0" w:color="auto"/>
            <w:left w:val="none" w:sz="0" w:space="0" w:color="auto"/>
            <w:bottom w:val="none" w:sz="0" w:space="0" w:color="auto"/>
            <w:right w:val="none" w:sz="0" w:space="0" w:color="auto"/>
          </w:divBdr>
        </w:div>
      </w:divsChild>
    </w:div>
    <w:div w:id="1632781159">
      <w:bodyDiv w:val="1"/>
      <w:marLeft w:val="0"/>
      <w:marRight w:val="0"/>
      <w:marTop w:val="0"/>
      <w:marBottom w:val="0"/>
      <w:divBdr>
        <w:top w:val="none" w:sz="0" w:space="0" w:color="auto"/>
        <w:left w:val="none" w:sz="0" w:space="0" w:color="auto"/>
        <w:bottom w:val="none" w:sz="0" w:space="0" w:color="auto"/>
        <w:right w:val="none" w:sz="0" w:space="0" w:color="auto"/>
      </w:divBdr>
      <w:divsChild>
        <w:div w:id="1733238372">
          <w:marLeft w:val="547"/>
          <w:marRight w:val="0"/>
          <w:marTop w:val="0"/>
          <w:marBottom w:val="0"/>
          <w:divBdr>
            <w:top w:val="none" w:sz="0" w:space="0" w:color="auto"/>
            <w:left w:val="none" w:sz="0" w:space="0" w:color="auto"/>
            <w:bottom w:val="none" w:sz="0" w:space="0" w:color="auto"/>
            <w:right w:val="none" w:sz="0" w:space="0" w:color="auto"/>
          </w:divBdr>
        </w:div>
      </w:divsChild>
    </w:div>
    <w:div w:id="1743915308">
      <w:bodyDiv w:val="1"/>
      <w:marLeft w:val="0"/>
      <w:marRight w:val="0"/>
      <w:marTop w:val="0"/>
      <w:marBottom w:val="0"/>
      <w:divBdr>
        <w:top w:val="none" w:sz="0" w:space="0" w:color="auto"/>
        <w:left w:val="none" w:sz="0" w:space="0" w:color="auto"/>
        <w:bottom w:val="none" w:sz="0" w:space="0" w:color="auto"/>
        <w:right w:val="none" w:sz="0" w:space="0" w:color="auto"/>
      </w:divBdr>
      <w:divsChild>
        <w:div w:id="1110929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QuickStyle" Target="diagrams/quickStyle3.xml"/><Relationship Id="rId39" Type="http://schemas.microsoft.com/office/2007/relationships/diagramDrawing" Target="diagrams/drawing5.xml"/><Relationship Id="rId3" Type="http://schemas.openxmlformats.org/officeDocument/2006/relationships/customXml" Target="../customXml/item3.xml"/><Relationship Id="rId21" Type="http://schemas.openxmlformats.org/officeDocument/2006/relationships/image" Target="media/image4.svg"/><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Layout" Target="diagrams/layout7.xml"/><Relationship Id="rId50" Type="http://schemas.microsoft.com/office/2007/relationships/diagramDrawing" Target="diagrams/drawing7.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Data" Target="diagrams/data7.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image" Target="media/image3.png"/><Relationship Id="rId29" Type="http://schemas.openxmlformats.org/officeDocument/2006/relationships/image" Target="media/image7.png"/><Relationship Id="rId41" Type="http://schemas.openxmlformats.org/officeDocument/2006/relationships/diagramLayout" Target="diagrams/layout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image" Target="media/image8.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image" Target="media/image6.svg"/><Relationship Id="rId28" Type="http://schemas.microsoft.com/office/2007/relationships/diagramDrawing" Target="diagrams/drawing3.xml"/><Relationship Id="rId36" Type="http://schemas.openxmlformats.org/officeDocument/2006/relationships/diagramLayout" Target="diagrams/layout5.xml"/><Relationship Id="rId49" Type="http://schemas.openxmlformats.org/officeDocument/2006/relationships/diagramColors" Target="diagrams/colors7.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QuickStyle" Target="diagrams/quickStyle7.xml"/><Relationship Id="rId8" Type="http://schemas.openxmlformats.org/officeDocument/2006/relationships/footnotes" Target="footnote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diagrams/_rels/data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683D41-5587-481E-9ADC-B9ED7347A079}" type="doc">
      <dgm:prSet loTypeId="urn:microsoft.com/office/officeart/2005/8/layout/vList3" loCatId="list" qsTypeId="urn:microsoft.com/office/officeart/2005/8/quickstyle/simple1" qsCatId="simple" csTypeId="urn:microsoft.com/office/officeart/2005/8/colors/accent1_2" csCatId="accent1" phldr="1"/>
      <dgm:spPr/>
    </dgm:pt>
    <dgm:pt modelId="{BF70547C-8D91-4D86-82DD-51E02D33D774}">
      <dgm:prSet phldrT="[Text]" custT="1"/>
      <dgm:spPr/>
      <dgm:t>
        <a:bodyPr/>
        <a:lstStyle/>
        <a:p>
          <a:pPr algn="l"/>
          <a:r>
            <a:rPr lang="en-US" sz="1200" b="1"/>
            <a:t>The COVID-19 pandemic has created considerable challenges and uncertainties around Medicaid cost reporting, rate setting, and emergency funding provisions found in Minnesota Statutes 12A.10.</a:t>
          </a:r>
        </a:p>
      </dgm:t>
    </dgm:pt>
    <dgm:pt modelId="{2BF134B0-508B-4796-A936-1EC1B3B74789}" type="sibTrans" cxnId="{3BE1DB41-B745-4845-AB15-99EED8260613}">
      <dgm:prSet/>
      <dgm:spPr/>
      <dgm:t>
        <a:bodyPr/>
        <a:lstStyle/>
        <a:p>
          <a:endParaRPr lang="en-US"/>
        </a:p>
      </dgm:t>
    </dgm:pt>
    <dgm:pt modelId="{E5922262-A5E0-4A0B-857B-69683955558C}" type="parTrans" cxnId="{3BE1DB41-B745-4845-AB15-99EED8260613}">
      <dgm:prSet/>
      <dgm:spPr/>
      <dgm:t>
        <a:bodyPr/>
        <a:lstStyle/>
        <a:p>
          <a:endParaRPr lang="en-US"/>
        </a:p>
      </dgm:t>
    </dgm:pt>
    <dgm:pt modelId="{A12F7643-015E-4DCD-AECE-05EB3E86960E}" type="pres">
      <dgm:prSet presAssocID="{BA683D41-5587-481E-9ADC-B9ED7347A079}" presName="linearFlow" presStyleCnt="0">
        <dgm:presLayoutVars>
          <dgm:dir/>
          <dgm:resizeHandles val="exact"/>
        </dgm:presLayoutVars>
      </dgm:prSet>
      <dgm:spPr/>
    </dgm:pt>
    <dgm:pt modelId="{6C078209-B234-4805-8783-B8998F8A2A7A}" type="pres">
      <dgm:prSet presAssocID="{BF70547C-8D91-4D86-82DD-51E02D33D774}" presName="composite" presStyleCnt="0"/>
      <dgm:spPr/>
    </dgm:pt>
    <dgm:pt modelId="{3E5FBE9A-C28A-4A62-86F6-9C82DBBF5C4E}" type="pres">
      <dgm:prSet presAssocID="{BF70547C-8D91-4D86-82DD-51E02D33D774}" presName="imgShp" presStyleLbl="fgImgPlace1" presStyleIdx="0" presStyleCnt="1" custScaleX="75901" custScaleY="79311" custLinFactNeighborX="-73564" custLinFactNeighborY="114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rgbClr val="C00000"/>
          </a:solidFill>
        </a:ln>
      </dgm:spPr>
    </dgm:pt>
    <dgm:pt modelId="{F38AA1DD-0E04-4930-A64D-B87B0D40D03C}" type="pres">
      <dgm:prSet presAssocID="{BF70547C-8D91-4D86-82DD-51E02D33D774}" presName="txShp" presStyleLbl="node1" presStyleIdx="0" presStyleCnt="1" custScaleX="132456" custLinFactNeighborX="9929">
        <dgm:presLayoutVars>
          <dgm:bulletEnabled val="1"/>
        </dgm:presLayoutVars>
      </dgm:prSet>
      <dgm:spPr/>
    </dgm:pt>
  </dgm:ptLst>
  <dgm:cxnLst>
    <dgm:cxn modelId="{669DF200-6B5A-4002-83CB-3FCA76913466}" type="presOf" srcId="{BA683D41-5587-481E-9ADC-B9ED7347A079}" destId="{A12F7643-015E-4DCD-AECE-05EB3E86960E}" srcOrd="0" destOrd="0" presId="urn:microsoft.com/office/officeart/2005/8/layout/vList3"/>
    <dgm:cxn modelId="{3BE1DB41-B745-4845-AB15-99EED8260613}" srcId="{BA683D41-5587-481E-9ADC-B9ED7347A079}" destId="{BF70547C-8D91-4D86-82DD-51E02D33D774}" srcOrd="0" destOrd="0" parTransId="{E5922262-A5E0-4A0B-857B-69683955558C}" sibTransId="{2BF134B0-508B-4796-A936-1EC1B3B74789}"/>
    <dgm:cxn modelId="{8CBC8A8A-E529-494F-9025-273330A57D3F}" type="presOf" srcId="{BF70547C-8D91-4D86-82DD-51E02D33D774}" destId="{F38AA1DD-0E04-4930-A64D-B87B0D40D03C}" srcOrd="0" destOrd="0" presId="urn:microsoft.com/office/officeart/2005/8/layout/vList3"/>
    <dgm:cxn modelId="{1FE94BDA-2025-4473-9E19-0B37119CA61E}" type="presParOf" srcId="{A12F7643-015E-4DCD-AECE-05EB3E86960E}" destId="{6C078209-B234-4805-8783-B8998F8A2A7A}" srcOrd="0" destOrd="0" presId="urn:microsoft.com/office/officeart/2005/8/layout/vList3"/>
    <dgm:cxn modelId="{285791A6-3250-47CD-939C-1BA65214D4DC}" type="presParOf" srcId="{6C078209-B234-4805-8783-B8998F8A2A7A}" destId="{3E5FBE9A-C28A-4A62-86F6-9C82DBBF5C4E}" srcOrd="0" destOrd="0" presId="urn:microsoft.com/office/officeart/2005/8/layout/vList3"/>
    <dgm:cxn modelId="{E6918223-5FD2-4A0C-B05A-49532A30A734}" type="presParOf" srcId="{6C078209-B234-4805-8783-B8998F8A2A7A}" destId="{F38AA1DD-0E04-4930-A64D-B87B0D40D03C}"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683D41-5587-481E-9ADC-B9ED7347A079}" type="doc">
      <dgm:prSet loTypeId="urn:microsoft.com/office/officeart/2005/8/layout/vList3" loCatId="list" qsTypeId="urn:microsoft.com/office/officeart/2005/8/quickstyle/simple1" qsCatId="simple" csTypeId="urn:microsoft.com/office/officeart/2005/8/colors/accent1_2" csCatId="accent1" phldr="1"/>
      <dgm:spPr/>
    </dgm:pt>
    <dgm:pt modelId="{BF70547C-8D91-4D86-82DD-51E02D33D774}">
      <dgm:prSet phldrT="[Text]" custT="1"/>
      <dgm:spPr/>
      <dgm:t>
        <a:bodyPr/>
        <a:lstStyle/>
        <a:p>
          <a:pPr algn="l"/>
          <a:r>
            <a:rPr lang="en-US" sz="1200" b="1"/>
            <a:t>Nursing Facilities have experienced a number of opposing forces at the same time during the pandemic</a:t>
          </a:r>
        </a:p>
      </dgm:t>
    </dgm:pt>
    <dgm:pt modelId="{E5922262-A5E0-4A0B-857B-69683955558C}" type="parTrans" cxnId="{3BE1DB41-B745-4845-AB15-99EED8260613}">
      <dgm:prSet/>
      <dgm:spPr/>
      <dgm:t>
        <a:bodyPr/>
        <a:lstStyle/>
        <a:p>
          <a:endParaRPr lang="en-US"/>
        </a:p>
      </dgm:t>
    </dgm:pt>
    <dgm:pt modelId="{2BF134B0-508B-4796-A936-1EC1B3B74789}" type="sibTrans" cxnId="{3BE1DB41-B745-4845-AB15-99EED8260613}">
      <dgm:prSet/>
      <dgm:spPr/>
      <dgm:t>
        <a:bodyPr/>
        <a:lstStyle/>
        <a:p>
          <a:endParaRPr lang="en-US"/>
        </a:p>
      </dgm:t>
    </dgm:pt>
    <dgm:pt modelId="{A12F7643-015E-4DCD-AECE-05EB3E86960E}" type="pres">
      <dgm:prSet presAssocID="{BA683D41-5587-481E-9ADC-B9ED7347A079}" presName="linearFlow" presStyleCnt="0">
        <dgm:presLayoutVars>
          <dgm:dir/>
          <dgm:resizeHandles val="exact"/>
        </dgm:presLayoutVars>
      </dgm:prSet>
      <dgm:spPr/>
    </dgm:pt>
    <dgm:pt modelId="{6C078209-B234-4805-8783-B8998F8A2A7A}" type="pres">
      <dgm:prSet presAssocID="{BF70547C-8D91-4D86-82DD-51E02D33D774}" presName="composite" presStyleCnt="0"/>
      <dgm:spPr/>
    </dgm:pt>
    <dgm:pt modelId="{3E5FBE9A-C28A-4A62-86F6-9C82DBBF5C4E}" type="pres">
      <dgm:prSet presAssocID="{BF70547C-8D91-4D86-82DD-51E02D33D774}" presName="imgShp" presStyleLbl="fgImgPlace1" presStyleIdx="0" presStyleCnt="1" custScaleX="75901" custScaleY="79311" custLinFactNeighborX="-73564" custLinFactNeighborY="114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rgbClr val="C00000"/>
          </a:solidFill>
        </a:ln>
      </dgm:spPr>
    </dgm:pt>
    <dgm:pt modelId="{F38AA1DD-0E04-4930-A64D-B87B0D40D03C}" type="pres">
      <dgm:prSet presAssocID="{BF70547C-8D91-4D86-82DD-51E02D33D774}" presName="txShp" presStyleLbl="node1" presStyleIdx="0" presStyleCnt="1" custScaleX="132456" custScaleY="100098" custLinFactNeighborX="9929">
        <dgm:presLayoutVars>
          <dgm:bulletEnabled val="1"/>
        </dgm:presLayoutVars>
      </dgm:prSet>
      <dgm:spPr/>
    </dgm:pt>
  </dgm:ptLst>
  <dgm:cxnLst>
    <dgm:cxn modelId="{669DF200-6B5A-4002-83CB-3FCA76913466}" type="presOf" srcId="{BA683D41-5587-481E-9ADC-B9ED7347A079}" destId="{A12F7643-015E-4DCD-AECE-05EB3E86960E}" srcOrd="0" destOrd="0" presId="urn:microsoft.com/office/officeart/2005/8/layout/vList3"/>
    <dgm:cxn modelId="{3BE1DB41-B745-4845-AB15-99EED8260613}" srcId="{BA683D41-5587-481E-9ADC-B9ED7347A079}" destId="{BF70547C-8D91-4D86-82DD-51E02D33D774}" srcOrd="0" destOrd="0" parTransId="{E5922262-A5E0-4A0B-857B-69683955558C}" sibTransId="{2BF134B0-508B-4796-A936-1EC1B3B74789}"/>
    <dgm:cxn modelId="{8CBC8A8A-E529-494F-9025-273330A57D3F}" type="presOf" srcId="{BF70547C-8D91-4D86-82DD-51E02D33D774}" destId="{F38AA1DD-0E04-4930-A64D-B87B0D40D03C}" srcOrd="0" destOrd="0" presId="urn:microsoft.com/office/officeart/2005/8/layout/vList3"/>
    <dgm:cxn modelId="{1FE94BDA-2025-4473-9E19-0B37119CA61E}" type="presParOf" srcId="{A12F7643-015E-4DCD-AECE-05EB3E86960E}" destId="{6C078209-B234-4805-8783-B8998F8A2A7A}" srcOrd="0" destOrd="0" presId="urn:microsoft.com/office/officeart/2005/8/layout/vList3"/>
    <dgm:cxn modelId="{285791A6-3250-47CD-939C-1BA65214D4DC}" type="presParOf" srcId="{6C078209-B234-4805-8783-B8998F8A2A7A}" destId="{3E5FBE9A-C28A-4A62-86F6-9C82DBBF5C4E}" srcOrd="0" destOrd="0" presId="urn:microsoft.com/office/officeart/2005/8/layout/vList3"/>
    <dgm:cxn modelId="{E6918223-5FD2-4A0C-B05A-49532A30A734}" type="presParOf" srcId="{6C078209-B234-4805-8783-B8998F8A2A7A}" destId="{F38AA1DD-0E04-4930-A64D-B87B0D40D03C}"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683D41-5587-481E-9ADC-B9ED7347A079}" type="doc">
      <dgm:prSet loTypeId="urn:microsoft.com/office/officeart/2005/8/layout/vList3" loCatId="list" qsTypeId="urn:microsoft.com/office/officeart/2005/8/quickstyle/simple1" qsCatId="simple" csTypeId="urn:microsoft.com/office/officeart/2005/8/colors/accent1_2" csCatId="accent1" phldr="1"/>
      <dgm:spPr/>
    </dgm:pt>
    <dgm:pt modelId="{BF70547C-8D91-4D86-82DD-51E02D33D774}">
      <dgm:prSet phldrT="[Text]" custT="1"/>
      <dgm:spPr/>
      <dgm:t>
        <a:bodyPr/>
        <a:lstStyle/>
        <a:p>
          <a:pPr algn="l"/>
          <a:r>
            <a:rPr lang="en-US" sz="1200" b="1"/>
            <a:t>Minnesota’s cost-based nursing facility payment system (Value-Based Reimbursement or VBR) establishes Medicaid and Private Pay Rates every January 1 based on the 12-Month Cost Report that ended 15-months earlier. </a:t>
          </a:r>
        </a:p>
      </dgm:t>
    </dgm:pt>
    <dgm:pt modelId="{E5922262-A5E0-4A0B-857B-69683955558C}" type="parTrans" cxnId="{3BE1DB41-B745-4845-AB15-99EED8260613}">
      <dgm:prSet/>
      <dgm:spPr/>
      <dgm:t>
        <a:bodyPr/>
        <a:lstStyle/>
        <a:p>
          <a:endParaRPr lang="en-US"/>
        </a:p>
      </dgm:t>
    </dgm:pt>
    <dgm:pt modelId="{2BF134B0-508B-4796-A936-1EC1B3B74789}" type="sibTrans" cxnId="{3BE1DB41-B745-4845-AB15-99EED8260613}">
      <dgm:prSet/>
      <dgm:spPr/>
      <dgm:t>
        <a:bodyPr/>
        <a:lstStyle/>
        <a:p>
          <a:endParaRPr lang="en-US"/>
        </a:p>
      </dgm:t>
    </dgm:pt>
    <dgm:pt modelId="{A12F7643-015E-4DCD-AECE-05EB3E86960E}" type="pres">
      <dgm:prSet presAssocID="{BA683D41-5587-481E-9ADC-B9ED7347A079}" presName="linearFlow" presStyleCnt="0">
        <dgm:presLayoutVars>
          <dgm:dir/>
          <dgm:resizeHandles val="exact"/>
        </dgm:presLayoutVars>
      </dgm:prSet>
      <dgm:spPr/>
    </dgm:pt>
    <dgm:pt modelId="{6C078209-B234-4805-8783-B8998F8A2A7A}" type="pres">
      <dgm:prSet presAssocID="{BF70547C-8D91-4D86-82DD-51E02D33D774}" presName="composite" presStyleCnt="0"/>
      <dgm:spPr/>
    </dgm:pt>
    <dgm:pt modelId="{3E5FBE9A-C28A-4A62-86F6-9C82DBBF5C4E}" type="pres">
      <dgm:prSet presAssocID="{BF70547C-8D91-4D86-82DD-51E02D33D774}" presName="imgShp" presStyleLbl="fgImgPlace1" presStyleIdx="0" presStyleCnt="1" custScaleX="75901" custScaleY="79311" custLinFactNeighborX="-73564" custLinFactNeighborY="114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rgbClr val="C00000"/>
          </a:solidFill>
        </a:ln>
      </dgm:spPr>
    </dgm:pt>
    <dgm:pt modelId="{F38AA1DD-0E04-4930-A64D-B87B0D40D03C}" type="pres">
      <dgm:prSet presAssocID="{BF70547C-8D91-4D86-82DD-51E02D33D774}" presName="txShp" presStyleLbl="node1" presStyleIdx="0" presStyleCnt="1" custScaleX="132456" custScaleY="100098" custLinFactNeighborX="9929">
        <dgm:presLayoutVars>
          <dgm:bulletEnabled val="1"/>
        </dgm:presLayoutVars>
      </dgm:prSet>
      <dgm:spPr/>
    </dgm:pt>
  </dgm:ptLst>
  <dgm:cxnLst>
    <dgm:cxn modelId="{669DF200-6B5A-4002-83CB-3FCA76913466}" type="presOf" srcId="{BA683D41-5587-481E-9ADC-B9ED7347A079}" destId="{A12F7643-015E-4DCD-AECE-05EB3E86960E}" srcOrd="0" destOrd="0" presId="urn:microsoft.com/office/officeart/2005/8/layout/vList3"/>
    <dgm:cxn modelId="{3BE1DB41-B745-4845-AB15-99EED8260613}" srcId="{BA683D41-5587-481E-9ADC-B9ED7347A079}" destId="{BF70547C-8D91-4D86-82DD-51E02D33D774}" srcOrd="0" destOrd="0" parTransId="{E5922262-A5E0-4A0B-857B-69683955558C}" sibTransId="{2BF134B0-508B-4796-A936-1EC1B3B74789}"/>
    <dgm:cxn modelId="{8CBC8A8A-E529-494F-9025-273330A57D3F}" type="presOf" srcId="{BF70547C-8D91-4D86-82DD-51E02D33D774}" destId="{F38AA1DD-0E04-4930-A64D-B87B0D40D03C}" srcOrd="0" destOrd="0" presId="urn:microsoft.com/office/officeart/2005/8/layout/vList3"/>
    <dgm:cxn modelId="{1FE94BDA-2025-4473-9E19-0B37119CA61E}" type="presParOf" srcId="{A12F7643-015E-4DCD-AECE-05EB3E86960E}" destId="{6C078209-B234-4805-8783-B8998F8A2A7A}" srcOrd="0" destOrd="0" presId="urn:microsoft.com/office/officeart/2005/8/layout/vList3"/>
    <dgm:cxn modelId="{285791A6-3250-47CD-939C-1BA65214D4DC}" type="presParOf" srcId="{6C078209-B234-4805-8783-B8998F8A2A7A}" destId="{3E5FBE9A-C28A-4A62-86F6-9C82DBBF5C4E}" srcOrd="0" destOrd="0" presId="urn:microsoft.com/office/officeart/2005/8/layout/vList3"/>
    <dgm:cxn modelId="{E6918223-5FD2-4A0C-B05A-49532A30A734}" type="presParOf" srcId="{6C078209-B234-4805-8783-B8998F8A2A7A}" destId="{F38AA1DD-0E04-4930-A64D-B87B0D40D03C}" srcOrd="1" destOrd="0" presId="urn:microsoft.com/office/officeart/2005/8/layout/vLis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683D41-5587-481E-9ADC-B9ED7347A079}" type="doc">
      <dgm:prSet loTypeId="urn:microsoft.com/office/officeart/2005/8/layout/vList3" loCatId="list" qsTypeId="urn:microsoft.com/office/officeart/2005/8/quickstyle/simple1" qsCatId="simple" csTypeId="urn:microsoft.com/office/officeart/2005/8/colors/accent1_2" csCatId="accent1" phldr="1"/>
      <dgm:spPr/>
    </dgm:pt>
    <dgm:pt modelId="{BF70547C-8D91-4D86-82DD-51E02D33D774}">
      <dgm:prSet phldrT="[Text]" custT="1"/>
      <dgm:spPr/>
      <dgm:t>
        <a:bodyPr/>
        <a:lstStyle/>
        <a:p>
          <a:pPr algn="l">
            <a:lnSpc>
              <a:spcPct val="100000"/>
            </a:lnSpc>
            <a:spcAft>
              <a:spcPts val="0"/>
            </a:spcAft>
          </a:pPr>
          <a:r>
            <a:rPr lang="en-US" sz="1200" b="1"/>
            <a:t>Nursing facilities have received increased emergency funding from several programs.</a:t>
          </a:r>
        </a:p>
        <a:p>
          <a:pPr algn="l">
            <a:lnSpc>
              <a:spcPct val="100000"/>
            </a:lnSpc>
            <a:spcAft>
              <a:spcPts val="0"/>
            </a:spcAft>
          </a:pPr>
          <a:r>
            <a:rPr lang="en-US" sz="1200" b="1" i="1">
              <a:solidFill>
                <a:srgbClr val="002060"/>
              </a:solidFill>
            </a:rPr>
            <a:t>CARES Act Provider Relief Fund (federal), Payroll Protection Program (federal), Minnesota Medicaid via 12A.10 statutes (state)</a:t>
          </a:r>
        </a:p>
      </dgm:t>
    </dgm:pt>
    <dgm:pt modelId="{E5922262-A5E0-4A0B-857B-69683955558C}" type="parTrans" cxnId="{3BE1DB41-B745-4845-AB15-99EED8260613}">
      <dgm:prSet/>
      <dgm:spPr/>
      <dgm:t>
        <a:bodyPr/>
        <a:lstStyle/>
        <a:p>
          <a:endParaRPr lang="en-US"/>
        </a:p>
      </dgm:t>
    </dgm:pt>
    <dgm:pt modelId="{2BF134B0-508B-4796-A936-1EC1B3B74789}" type="sibTrans" cxnId="{3BE1DB41-B745-4845-AB15-99EED8260613}">
      <dgm:prSet/>
      <dgm:spPr/>
      <dgm:t>
        <a:bodyPr/>
        <a:lstStyle/>
        <a:p>
          <a:endParaRPr lang="en-US"/>
        </a:p>
      </dgm:t>
    </dgm:pt>
    <dgm:pt modelId="{A12F7643-015E-4DCD-AECE-05EB3E86960E}" type="pres">
      <dgm:prSet presAssocID="{BA683D41-5587-481E-9ADC-B9ED7347A079}" presName="linearFlow" presStyleCnt="0">
        <dgm:presLayoutVars>
          <dgm:dir/>
          <dgm:resizeHandles val="exact"/>
        </dgm:presLayoutVars>
      </dgm:prSet>
      <dgm:spPr/>
    </dgm:pt>
    <dgm:pt modelId="{6C078209-B234-4805-8783-B8998F8A2A7A}" type="pres">
      <dgm:prSet presAssocID="{BF70547C-8D91-4D86-82DD-51E02D33D774}" presName="composite" presStyleCnt="0"/>
      <dgm:spPr/>
    </dgm:pt>
    <dgm:pt modelId="{3E5FBE9A-C28A-4A62-86F6-9C82DBBF5C4E}" type="pres">
      <dgm:prSet presAssocID="{BF70547C-8D91-4D86-82DD-51E02D33D774}" presName="imgShp" presStyleLbl="fgImgPlace1" presStyleIdx="0" presStyleCnt="1" custScaleX="75901" custScaleY="79311" custLinFactNeighborX="-73564" custLinFactNeighborY="114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rgbClr val="C00000"/>
          </a:solidFill>
        </a:ln>
      </dgm:spPr>
    </dgm:pt>
    <dgm:pt modelId="{F38AA1DD-0E04-4930-A64D-B87B0D40D03C}" type="pres">
      <dgm:prSet presAssocID="{BF70547C-8D91-4D86-82DD-51E02D33D774}" presName="txShp" presStyleLbl="node1" presStyleIdx="0" presStyleCnt="1" custScaleX="132456" custScaleY="100098" custLinFactNeighborX="9929">
        <dgm:presLayoutVars>
          <dgm:bulletEnabled val="1"/>
        </dgm:presLayoutVars>
      </dgm:prSet>
      <dgm:spPr/>
    </dgm:pt>
  </dgm:ptLst>
  <dgm:cxnLst>
    <dgm:cxn modelId="{669DF200-6B5A-4002-83CB-3FCA76913466}" type="presOf" srcId="{BA683D41-5587-481E-9ADC-B9ED7347A079}" destId="{A12F7643-015E-4DCD-AECE-05EB3E86960E}" srcOrd="0" destOrd="0" presId="urn:microsoft.com/office/officeart/2005/8/layout/vList3"/>
    <dgm:cxn modelId="{3BE1DB41-B745-4845-AB15-99EED8260613}" srcId="{BA683D41-5587-481E-9ADC-B9ED7347A079}" destId="{BF70547C-8D91-4D86-82DD-51E02D33D774}" srcOrd="0" destOrd="0" parTransId="{E5922262-A5E0-4A0B-857B-69683955558C}" sibTransId="{2BF134B0-508B-4796-A936-1EC1B3B74789}"/>
    <dgm:cxn modelId="{8CBC8A8A-E529-494F-9025-273330A57D3F}" type="presOf" srcId="{BF70547C-8D91-4D86-82DD-51E02D33D774}" destId="{F38AA1DD-0E04-4930-A64D-B87B0D40D03C}" srcOrd="0" destOrd="0" presId="urn:microsoft.com/office/officeart/2005/8/layout/vList3"/>
    <dgm:cxn modelId="{1FE94BDA-2025-4473-9E19-0B37119CA61E}" type="presParOf" srcId="{A12F7643-015E-4DCD-AECE-05EB3E86960E}" destId="{6C078209-B234-4805-8783-B8998F8A2A7A}" srcOrd="0" destOrd="0" presId="urn:microsoft.com/office/officeart/2005/8/layout/vList3"/>
    <dgm:cxn modelId="{285791A6-3250-47CD-939C-1BA65214D4DC}" type="presParOf" srcId="{6C078209-B234-4805-8783-B8998F8A2A7A}" destId="{3E5FBE9A-C28A-4A62-86F6-9C82DBBF5C4E}" srcOrd="0" destOrd="0" presId="urn:microsoft.com/office/officeart/2005/8/layout/vList3"/>
    <dgm:cxn modelId="{E6918223-5FD2-4A0C-B05A-49532A30A734}" type="presParOf" srcId="{6C078209-B234-4805-8783-B8998F8A2A7A}" destId="{F38AA1DD-0E04-4930-A64D-B87B0D40D03C}" srcOrd="1" destOrd="0" presId="urn:microsoft.com/office/officeart/2005/8/layout/vList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A683D41-5587-481E-9ADC-B9ED7347A079}" type="doc">
      <dgm:prSet loTypeId="urn:microsoft.com/office/officeart/2005/8/layout/vList3" loCatId="list" qsTypeId="urn:microsoft.com/office/officeart/2005/8/quickstyle/simple1" qsCatId="simple" csTypeId="urn:microsoft.com/office/officeart/2005/8/colors/accent1_2" csCatId="accent1" phldr="1"/>
      <dgm:spPr/>
    </dgm:pt>
    <dgm:pt modelId="{BF70547C-8D91-4D86-82DD-51E02D33D774}">
      <dgm:prSet phldrT="[Text]" custT="1"/>
      <dgm:spPr/>
      <dgm:t>
        <a:bodyPr/>
        <a:lstStyle/>
        <a:p>
          <a:pPr algn="l">
            <a:lnSpc>
              <a:spcPct val="100000"/>
            </a:lnSpc>
            <a:spcAft>
              <a:spcPts val="0"/>
            </a:spcAft>
          </a:pPr>
          <a:r>
            <a:rPr lang="en-US" sz="1200" b="1"/>
            <a:t>Of immediate concern is the timeline and sequencing by DHS of nursing facility requests under 12A.10. </a:t>
          </a:r>
          <a:endParaRPr lang="en-US" sz="1200" b="1" i="1">
            <a:solidFill>
              <a:srgbClr val="002060"/>
            </a:solidFill>
          </a:endParaRPr>
        </a:p>
      </dgm:t>
    </dgm:pt>
    <dgm:pt modelId="{E5922262-A5E0-4A0B-857B-69683955558C}" type="parTrans" cxnId="{3BE1DB41-B745-4845-AB15-99EED8260613}">
      <dgm:prSet/>
      <dgm:spPr/>
      <dgm:t>
        <a:bodyPr/>
        <a:lstStyle/>
        <a:p>
          <a:endParaRPr lang="en-US"/>
        </a:p>
      </dgm:t>
    </dgm:pt>
    <dgm:pt modelId="{2BF134B0-508B-4796-A936-1EC1B3B74789}" type="sibTrans" cxnId="{3BE1DB41-B745-4845-AB15-99EED8260613}">
      <dgm:prSet/>
      <dgm:spPr/>
      <dgm:t>
        <a:bodyPr/>
        <a:lstStyle/>
        <a:p>
          <a:endParaRPr lang="en-US"/>
        </a:p>
      </dgm:t>
    </dgm:pt>
    <dgm:pt modelId="{A12F7643-015E-4DCD-AECE-05EB3E86960E}" type="pres">
      <dgm:prSet presAssocID="{BA683D41-5587-481E-9ADC-B9ED7347A079}" presName="linearFlow" presStyleCnt="0">
        <dgm:presLayoutVars>
          <dgm:dir/>
          <dgm:resizeHandles val="exact"/>
        </dgm:presLayoutVars>
      </dgm:prSet>
      <dgm:spPr/>
    </dgm:pt>
    <dgm:pt modelId="{6C078209-B234-4805-8783-B8998F8A2A7A}" type="pres">
      <dgm:prSet presAssocID="{BF70547C-8D91-4D86-82DD-51E02D33D774}" presName="composite" presStyleCnt="0"/>
      <dgm:spPr/>
    </dgm:pt>
    <dgm:pt modelId="{3E5FBE9A-C28A-4A62-86F6-9C82DBBF5C4E}" type="pres">
      <dgm:prSet presAssocID="{BF70547C-8D91-4D86-82DD-51E02D33D774}" presName="imgShp" presStyleLbl="fgImgPlace1" presStyleIdx="0" presStyleCnt="1" custScaleX="75901" custScaleY="79311" custLinFactNeighborX="-73564" custLinFactNeighborY="114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rgbClr val="C00000"/>
          </a:solidFill>
        </a:ln>
      </dgm:spPr>
    </dgm:pt>
    <dgm:pt modelId="{F38AA1DD-0E04-4930-A64D-B87B0D40D03C}" type="pres">
      <dgm:prSet presAssocID="{BF70547C-8D91-4D86-82DD-51E02D33D774}" presName="txShp" presStyleLbl="node1" presStyleIdx="0" presStyleCnt="1" custScaleX="132456" custScaleY="100098" custLinFactNeighborX="9929">
        <dgm:presLayoutVars>
          <dgm:bulletEnabled val="1"/>
        </dgm:presLayoutVars>
      </dgm:prSet>
      <dgm:spPr/>
    </dgm:pt>
  </dgm:ptLst>
  <dgm:cxnLst>
    <dgm:cxn modelId="{669DF200-6B5A-4002-83CB-3FCA76913466}" type="presOf" srcId="{BA683D41-5587-481E-9ADC-B9ED7347A079}" destId="{A12F7643-015E-4DCD-AECE-05EB3E86960E}" srcOrd="0" destOrd="0" presId="urn:microsoft.com/office/officeart/2005/8/layout/vList3"/>
    <dgm:cxn modelId="{3BE1DB41-B745-4845-AB15-99EED8260613}" srcId="{BA683D41-5587-481E-9ADC-B9ED7347A079}" destId="{BF70547C-8D91-4D86-82DD-51E02D33D774}" srcOrd="0" destOrd="0" parTransId="{E5922262-A5E0-4A0B-857B-69683955558C}" sibTransId="{2BF134B0-508B-4796-A936-1EC1B3B74789}"/>
    <dgm:cxn modelId="{8CBC8A8A-E529-494F-9025-273330A57D3F}" type="presOf" srcId="{BF70547C-8D91-4D86-82DD-51E02D33D774}" destId="{F38AA1DD-0E04-4930-A64D-B87B0D40D03C}" srcOrd="0" destOrd="0" presId="urn:microsoft.com/office/officeart/2005/8/layout/vList3"/>
    <dgm:cxn modelId="{1FE94BDA-2025-4473-9E19-0B37119CA61E}" type="presParOf" srcId="{A12F7643-015E-4DCD-AECE-05EB3E86960E}" destId="{6C078209-B234-4805-8783-B8998F8A2A7A}" srcOrd="0" destOrd="0" presId="urn:microsoft.com/office/officeart/2005/8/layout/vList3"/>
    <dgm:cxn modelId="{285791A6-3250-47CD-939C-1BA65214D4DC}" type="presParOf" srcId="{6C078209-B234-4805-8783-B8998F8A2A7A}" destId="{3E5FBE9A-C28A-4A62-86F6-9C82DBBF5C4E}" srcOrd="0" destOrd="0" presId="urn:microsoft.com/office/officeart/2005/8/layout/vList3"/>
    <dgm:cxn modelId="{E6918223-5FD2-4A0C-B05A-49532A30A734}" type="presParOf" srcId="{6C078209-B234-4805-8783-B8998F8A2A7A}" destId="{F38AA1DD-0E04-4930-A64D-B87B0D40D03C}" srcOrd="1" destOrd="0" presId="urn:microsoft.com/office/officeart/2005/8/layout/vList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A683D41-5587-481E-9ADC-B9ED7347A079}" type="doc">
      <dgm:prSet loTypeId="urn:microsoft.com/office/officeart/2005/8/layout/vList3" loCatId="list" qsTypeId="urn:microsoft.com/office/officeart/2005/8/quickstyle/simple1" qsCatId="simple" csTypeId="urn:microsoft.com/office/officeart/2005/8/colors/accent1_2" csCatId="accent1" phldr="1"/>
      <dgm:spPr/>
    </dgm:pt>
    <dgm:pt modelId="{BF70547C-8D91-4D86-82DD-51E02D33D774}">
      <dgm:prSet phldrT="[Text]" custT="1"/>
      <dgm:spPr/>
      <dgm:t>
        <a:bodyPr/>
        <a:lstStyle/>
        <a:p>
          <a:pPr algn="l">
            <a:lnSpc>
              <a:spcPct val="100000"/>
            </a:lnSpc>
            <a:spcAft>
              <a:spcPts val="0"/>
            </a:spcAft>
          </a:pPr>
          <a:r>
            <a:rPr lang="en-US" sz="1200" b="1"/>
            <a:t>Rate setting in cost report years impacted by the pandemic is problematic due to lack of clarity about federal and state relief funding and how those relate to routine rates</a:t>
          </a:r>
          <a:endParaRPr lang="en-US" sz="1200" b="1" i="1">
            <a:solidFill>
              <a:srgbClr val="002060"/>
            </a:solidFill>
          </a:endParaRPr>
        </a:p>
      </dgm:t>
    </dgm:pt>
    <dgm:pt modelId="{E5922262-A5E0-4A0B-857B-69683955558C}" type="parTrans" cxnId="{3BE1DB41-B745-4845-AB15-99EED8260613}">
      <dgm:prSet/>
      <dgm:spPr/>
      <dgm:t>
        <a:bodyPr/>
        <a:lstStyle/>
        <a:p>
          <a:endParaRPr lang="en-US"/>
        </a:p>
      </dgm:t>
    </dgm:pt>
    <dgm:pt modelId="{2BF134B0-508B-4796-A936-1EC1B3B74789}" type="sibTrans" cxnId="{3BE1DB41-B745-4845-AB15-99EED8260613}">
      <dgm:prSet/>
      <dgm:spPr/>
      <dgm:t>
        <a:bodyPr/>
        <a:lstStyle/>
        <a:p>
          <a:endParaRPr lang="en-US"/>
        </a:p>
      </dgm:t>
    </dgm:pt>
    <dgm:pt modelId="{A12F7643-015E-4DCD-AECE-05EB3E86960E}" type="pres">
      <dgm:prSet presAssocID="{BA683D41-5587-481E-9ADC-B9ED7347A079}" presName="linearFlow" presStyleCnt="0">
        <dgm:presLayoutVars>
          <dgm:dir/>
          <dgm:resizeHandles val="exact"/>
        </dgm:presLayoutVars>
      </dgm:prSet>
      <dgm:spPr/>
    </dgm:pt>
    <dgm:pt modelId="{6C078209-B234-4805-8783-B8998F8A2A7A}" type="pres">
      <dgm:prSet presAssocID="{BF70547C-8D91-4D86-82DD-51E02D33D774}" presName="composite" presStyleCnt="0"/>
      <dgm:spPr/>
    </dgm:pt>
    <dgm:pt modelId="{3E5FBE9A-C28A-4A62-86F6-9C82DBBF5C4E}" type="pres">
      <dgm:prSet presAssocID="{BF70547C-8D91-4D86-82DD-51E02D33D774}" presName="imgShp" presStyleLbl="fgImgPlace1" presStyleIdx="0" presStyleCnt="1" custScaleX="75901" custScaleY="79311" custLinFactNeighborX="-73564" custLinFactNeighborY="114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rgbClr val="C00000"/>
          </a:solidFill>
        </a:ln>
      </dgm:spPr>
    </dgm:pt>
    <dgm:pt modelId="{F38AA1DD-0E04-4930-A64D-B87B0D40D03C}" type="pres">
      <dgm:prSet presAssocID="{BF70547C-8D91-4D86-82DD-51E02D33D774}" presName="txShp" presStyleLbl="node1" presStyleIdx="0" presStyleCnt="1" custScaleX="132456" custScaleY="100098" custLinFactNeighborX="9929">
        <dgm:presLayoutVars>
          <dgm:bulletEnabled val="1"/>
        </dgm:presLayoutVars>
      </dgm:prSet>
      <dgm:spPr/>
    </dgm:pt>
  </dgm:ptLst>
  <dgm:cxnLst>
    <dgm:cxn modelId="{669DF200-6B5A-4002-83CB-3FCA76913466}" type="presOf" srcId="{BA683D41-5587-481E-9ADC-B9ED7347A079}" destId="{A12F7643-015E-4DCD-AECE-05EB3E86960E}" srcOrd="0" destOrd="0" presId="urn:microsoft.com/office/officeart/2005/8/layout/vList3"/>
    <dgm:cxn modelId="{3BE1DB41-B745-4845-AB15-99EED8260613}" srcId="{BA683D41-5587-481E-9ADC-B9ED7347A079}" destId="{BF70547C-8D91-4D86-82DD-51E02D33D774}" srcOrd="0" destOrd="0" parTransId="{E5922262-A5E0-4A0B-857B-69683955558C}" sibTransId="{2BF134B0-508B-4796-A936-1EC1B3B74789}"/>
    <dgm:cxn modelId="{8CBC8A8A-E529-494F-9025-273330A57D3F}" type="presOf" srcId="{BF70547C-8D91-4D86-82DD-51E02D33D774}" destId="{F38AA1DD-0E04-4930-A64D-B87B0D40D03C}" srcOrd="0" destOrd="0" presId="urn:microsoft.com/office/officeart/2005/8/layout/vList3"/>
    <dgm:cxn modelId="{1FE94BDA-2025-4473-9E19-0B37119CA61E}" type="presParOf" srcId="{A12F7643-015E-4DCD-AECE-05EB3E86960E}" destId="{6C078209-B234-4805-8783-B8998F8A2A7A}" srcOrd="0" destOrd="0" presId="urn:microsoft.com/office/officeart/2005/8/layout/vList3"/>
    <dgm:cxn modelId="{285791A6-3250-47CD-939C-1BA65214D4DC}" type="presParOf" srcId="{6C078209-B234-4805-8783-B8998F8A2A7A}" destId="{3E5FBE9A-C28A-4A62-86F6-9C82DBBF5C4E}" srcOrd="0" destOrd="0" presId="urn:microsoft.com/office/officeart/2005/8/layout/vList3"/>
    <dgm:cxn modelId="{E6918223-5FD2-4A0C-B05A-49532A30A734}" type="presParOf" srcId="{6C078209-B234-4805-8783-B8998F8A2A7A}" destId="{F38AA1DD-0E04-4930-A64D-B87B0D40D03C}" srcOrd="1" destOrd="0" presId="urn:microsoft.com/office/officeart/2005/8/layout/vList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08C9A64-0701-4524-8D99-4EF9D192A9A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DA528248-557D-4EF9-824A-B1AA93554E4C}">
      <dgm:prSet phldrT="[Text]"/>
      <dgm:spPr/>
      <dgm:t>
        <a:bodyPr/>
        <a:lstStyle/>
        <a:p>
          <a:r>
            <a:rPr lang="en-US"/>
            <a:t>Solutions</a:t>
          </a:r>
        </a:p>
      </dgm:t>
    </dgm:pt>
    <dgm:pt modelId="{56B2EAF2-EE75-45BE-9B22-A890337AA152}" type="parTrans" cxnId="{BE477125-5A05-4324-8F0B-1557603D2892}">
      <dgm:prSet/>
      <dgm:spPr/>
      <dgm:t>
        <a:bodyPr/>
        <a:lstStyle/>
        <a:p>
          <a:endParaRPr lang="en-US"/>
        </a:p>
      </dgm:t>
    </dgm:pt>
    <dgm:pt modelId="{3D9ED3EB-D432-488A-8CC4-6934E0A21CF9}" type="sibTrans" cxnId="{BE477125-5A05-4324-8F0B-1557603D2892}">
      <dgm:prSet/>
      <dgm:spPr/>
      <dgm:t>
        <a:bodyPr/>
        <a:lstStyle/>
        <a:p>
          <a:endParaRPr lang="en-US"/>
        </a:p>
      </dgm:t>
    </dgm:pt>
    <dgm:pt modelId="{3D9297D4-AA86-40D4-8DDE-CBB10E1414F0}">
      <dgm:prSet phldrT="[Text]"/>
      <dgm:spPr/>
      <dgm:t>
        <a:bodyPr/>
        <a:lstStyle/>
        <a:p>
          <a:r>
            <a:rPr lang="en-US"/>
            <a:t>Change 12A.10 statute to allow program provide funding without requiring use of federal relief funds first.</a:t>
          </a:r>
        </a:p>
      </dgm:t>
    </dgm:pt>
    <dgm:pt modelId="{791ED142-E94A-4572-8581-41A8F3BA99E3}" type="parTrans" cxnId="{BD5C4DE8-DBEC-4B40-BE27-FEFAAA84ED12}">
      <dgm:prSet/>
      <dgm:spPr/>
      <dgm:t>
        <a:bodyPr/>
        <a:lstStyle/>
        <a:p>
          <a:endParaRPr lang="en-US"/>
        </a:p>
      </dgm:t>
    </dgm:pt>
    <dgm:pt modelId="{E3B25100-9CA5-4C18-AE4E-7C5009957C67}" type="sibTrans" cxnId="{BD5C4DE8-DBEC-4B40-BE27-FEFAAA84ED12}">
      <dgm:prSet/>
      <dgm:spPr/>
      <dgm:t>
        <a:bodyPr/>
        <a:lstStyle/>
        <a:p>
          <a:endParaRPr lang="en-US"/>
        </a:p>
      </dgm:t>
    </dgm:pt>
    <dgm:pt modelId="{6ED6FA9F-8B98-4B07-9457-C6A131D0BF54}">
      <dgm:prSet phldrT="[Text]"/>
      <dgm:spPr/>
      <dgm:t>
        <a:bodyPr/>
        <a:lstStyle/>
        <a:p>
          <a:r>
            <a:rPr lang="en-US"/>
            <a:t>Address sequencing and ordering of revenue and expense requirements between federal and state aid programs.</a:t>
          </a:r>
        </a:p>
      </dgm:t>
    </dgm:pt>
    <dgm:pt modelId="{3BBFD61B-0A8C-4244-9870-477D53B5E55D}" type="parTrans" cxnId="{9D8D66F3-FCC7-434F-ABEA-BD4F958B383C}">
      <dgm:prSet/>
      <dgm:spPr/>
      <dgm:t>
        <a:bodyPr/>
        <a:lstStyle/>
        <a:p>
          <a:endParaRPr lang="en-US"/>
        </a:p>
      </dgm:t>
    </dgm:pt>
    <dgm:pt modelId="{6A29104D-2DA9-44EA-9E59-57A1AB15D66E}" type="sibTrans" cxnId="{9D8D66F3-FCC7-434F-ABEA-BD4F958B383C}">
      <dgm:prSet/>
      <dgm:spPr/>
      <dgm:t>
        <a:bodyPr/>
        <a:lstStyle/>
        <a:p>
          <a:endParaRPr lang="en-US"/>
        </a:p>
      </dgm:t>
    </dgm:pt>
    <dgm:pt modelId="{F05EDDD5-7493-4109-A3EB-4D9B9C43CA0C}">
      <dgm:prSet phldrT="[Text]"/>
      <dgm:spPr/>
      <dgm:t>
        <a:bodyPr/>
        <a:lstStyle/>
        <a:p>
          <a:r>
            <a:rPr lang="en-US"/>
            <a:t>These issues are really, really, really complicated. Flexiblity is needed.</a:t>
          </a:r>
        </a:p>
      </dgm:t>
    </dgm:pt>
    <dgm:pt modelId="{54CD9ACB-A2B6-49DD-BA07-B17494542F90}" type="parTrans" cxnId="{AFBA2D33-A8B7-48FD-81F4-8C3A30278705}">
      <dgm:prSet/>
      <dgm:spPr/>
      <dgm:t>
        <a:bodyPr/>
        <a:lstStyle/>
        <a:p>
          <a:endParaRPr lang="en-US"/>
        </a:p>
      </dgm:t>
    </dgm:pt>
    <dgm:pt modelId="{CBA4FBB6-FFE8-4510-8A45-B3590963E915}" type="sibTrans" cxnId="{AFBA2D33-A8B7-48FD-81F4-8C3A30278705}">
      <dgm:prSet/>
      <dgm:spPr/>
      <dgm:t>
        <a:bodyPr/>
        <a:lstStyle/>
        <a:p>
          <a:endParaRPr lang="en-US"/>
        </a:p>
      </dgm:t>
    </dgm:pt>
    <dgm:pt modelId="{70EA51AD-0DDB-4BEE-9184-2F973D672A6E}">
      <dgm:prSet phldrT="[Text]"/>
      <dgm:spPr/>
      <dgm:t>
        <a:bodyPr/>
        <a:lstStyle/>
        <a:p>
          <a:r>
            <a:rPr lang="en-US"/>
            <a:t>Do not adjust routine rate calculations for federal relief funds that are intended to replace lost revenue</a:t>
          </a:r>
        </a:p>
      </dgm:t>
    </dgm:pt>
    <dgm:pt modelId="{FED9AFA3-458B-4531-AB9A-7F70264BA7AF}" type="parTrans" cxnId="{99EC0758-9393-42D1-A7A3-2C88FD137C26}">
      <dgm:prSet/>
      <dgm:spPr/>
      <dgm:t>
        <a:bodyPr/>
        <a:lstStyle/>
        <a:p>
          <a:endParaRPr lang="en-US"/>
        </a:p>
      </dgm:t>
    </dgm:pt>
    <dgm:pt modelId="{57F7E62E-9CD6-422C-94D4-1A256D1A6685}" type="sibTrans" cxnId="{99EC0758-9393-42D1-A7A3-2C88FD137C26}">
      <dgm:prSet/>
      <dgm:spPr/>
      <dgm:t>
        <a:bodyPr/>
        <a:lstStyle/>
        <a:p>
          <a:endParaRPr lang="en-US"/>
        </a:p>
      </dgm:t>
    </dgm:pt>
    <dgm:pt modelId="{01EA66E3-ED56-4885-AD0F-1271ACCD0746}" type="pres">
      <dgm:prSet presAssocID="{408C9A64-0701-4524-8D99-4EF9D192A9AB}" presName="linearFlow" presStyleCnt="0">
        <dgm:presLayoutVars>
          <dgm:dir/>
          <dgm:animLvl val="lvl"/>
          <dgm:resizeHandles val="exact"/>
        </dgm:presLayoutVars>
      </dgm:prSet>
      <dgm:spPr/>
    </dgm:pt>
    <dgm:pt modelId="{7633BC73-A65E-40A3-AD9B-8DD553099A09}" type="pres">
      <dgm:prSet presAssocID="{DA528248-557D-4EF9-824A-B1AA93554E4C}" presName="composite" presStyleCnt="0"/>
      <dgm:spPr/>
    </dgm:pt>
    <dgm:pt modelId="{CA3579C0-D7BA-4F6F-97EB-AE135837A63B}" type="pres">
      <dgm:prSet presAssocID="{DA528248-557D-4EF9-824A-B1AA93554E4C}" presName="parentText" presStyleLbl="alignNode1" presStyleIdx="0" presStyleCnt="1" custScaleY="124873" custLinFactNeighborX="-2549" custLinFactNeighborY="-892">
        <dgm:presLayoutVars>
          <dgm:chMax val="1"/>
          <dgm:bulletEnabled val="1"/>
        </dgm:presLayoutVars>
      </dgm:prSet>
      <dgm:spPr/>
    </dgm:pt>
    <dgm:pt modelId="{DB2CE126-CDF3-4C9F-AA91-B78ED7819B62}" type="pres">
      <dgm:prSet presAssocID="{DA528248-557D-4EF9-824A-B1AA93554E4C}" presName="descendantText" presStyleLbl="alignAcc1" presStyleIdx="0" presStyleCnt="1" custScaleX="84521" custScaleY="175087">
        <dgm:presLayoutVars>
          <dgm:bulletEnabled val="1"/>
        </dgm:presLayoutVars>
      </dgm:prSet>
      <dgm:spPr/>
    </dgm:pt>
  </dgm:ptLst>
  <dgm:cxnLst>
    <dgm:cxn modelId="{324AE608-B7FE-4EAF-B808-042D07336BF5}" type="presOf" srcId="{DA528248-557D-4EF9-824A-B1AA93554E4C}" destId="{CA3579C0-D7BA-4F6F-97EB-AE135837A63B}" srcOrd="0" destOrd="0" presId="urn:microsoft.com/office/officeart/2005/8/layout/chevron2"/>
    <dgm:cxn modelId="{FCF82510-9E59-40B1-8512-18600750108D}" type="presOf" srcId="{3D9297D4-AA86-40D4-8DDE-CBB10E1414F0}" destId="{DB2CE126-CDF3-4C9F-AA91-B78ED7819B62}" srcOrd="0" destOrd="0" presId="urn:microsoft.com/office/officeart/2005/8/layout/chevron2"/>
    <dgm:cxn modelId="{65490E20-9C39-4207-BCD3-23C0FC2E01B8}" type="presOf" srcId="{70EA51AD-0DDB-4BEE-9184-2F973D672A6E}" destId="{DB2CE126-CDF3-4C9F-AA91-B78ED7819B62}" srcOrd="0" destOrd="2" presId="urn:microsoft.com/office/officeart/2005/8/layout/chevron2"/>
    <dgm:cxn modelId="{BE477125-5A05-4324-8F0B-1557603D2892}" srcId="{408C9A64-0701-4524-8D99-4EF9D192A9AB}" destId="{DA528248-557D-4EF9-824A-B1AA93554E4C}" srcOrd="0" destOrd="0" parTransId="{56B2EAF2-EE75-45BE-9B22-A890337AA152}" sibTransId="{3D9ED3EB-D432-488A-8CC4-6934E0A21CF9}"/>
    <dgm:cxn modelId="{AFBA2D33-A8B7-48FD-81F4-8C3A30278705}" srcId="{DA528248-557D-4EF9-824A-B1AA93554E4C}" destId="{F05EDDD5-7493-4109-A3EB-4D9B9C43CA0C}" srcOrd="3" destOrd="0" parTransId="{54CD9ACB-A2B6-49DD-BA07-B17494542F90}" sibTransId="{CBA4FBB6-FFE8-4510-8A45-B3590963E915}"/>
    <dgm:cxn modelId="{E9B43E41-7E70-403D-9B93-0E2E184F6316}" type="presOf" srcId="{6ED6FA9F-8B98-4B07-9457-C6A131D0BF54}" destId="{DB2CE126-CDF3-4C9F-AA91-B78ED7819B62}" srcOrd="0" destOrd="1" presId="urn:microsoft.com/office/officeart/2005/8/layout/chevron2"/>
    <dgm:cxn modelId="{99EC0758-9393-42D1-A7A3-2C88FD137C26}" srcId="{DA528248-557D-4EF9-824A-B1AA93554E4C}" destId="{70EA51AD-0DDB-4BEE-9184-2F973D672A6E}" srcOrd="2" destOrd="0" parTransId="{FED9AFA3-458B-4531-AB9A-7F70264BA7AF}" sibTransId="{57F7E62E-9CD6-422C-94D4-1A256D1A6685}"/>
    <dgm:cxn modelId="{006776C3-9C1D-40ED-A2A3-25F28695317E}" type="presOf" srcId="{F05EDDD5-7493-4109-A3EB-4D9B9C43CA0C}" destId="{DB2CE126-CDF3-4C9F-AA91-B78ED7819B62}" srcOrd="0" destOrd="3" presId="urn:microsoft.com/office/officeart/2005/8/layout/chevron2"/>
    <dgm:cxn modelId="{554C0DC5-16AF-4577-8077-568D0F56D6C9}" type="presOf" srcId="{408C9A64-0701-4524-8D99-4EF9D192A9AB}" destId="{01EA66E3-ED56-4885-AD0F-1271ACCD0746}" srcOrd="0" destOrd="0" presId="urn:microsoft.com/office/officeart/2005/8/layout/chevron2"/>
    <dgm:cxn modelId="{BD5C4DE8-DBEC-4B40-BE27-FEFAAA84ED12}" srcId="{DA528248-557D-4EF9-824A-B1AA93554E4C}" destId="{3D9297D4-AA86-40D4-8DDE-CBB10E1414F0}" srcOrd="0" destOrd="0" parTransId="{791ED142-E94A-4572-8581-41A8F3BA99E3}" sibTransId="{E3B25100-9CA5-4C18-AE4E-7C5009957C67}"/>
    <dgm:cxn modelId="{9D8D66F3-FCC7-434F-ABEA-BD4F958B383C}" srcId="{DA528248-557D-4EF9-824A-B1AA93554E4C}" destId="{6ED6FA9F-8B98-4B07-9457-C6A131D0BF54}" srcOrd="1" destOrd="0" parTransId="{3BBFD61B-0A8C-4244-9870-477D53B5E55D}" sibTransId="{6A29104D-2DA9-44EA-9E59-57A1AB15D66E}"/>
    <dgm:cxn modelId="{24593E8A-EEB3-48FE-9F8E-A2BD93EB8BB0}" type="presParOf" srcId="{01EA66E3-ED56-4885-AD0F-1271ACCD0746}" destId="{7633BC73-A65E-40A3-AD9B-8DD553099A09}" srcOrd="0" destOrd="0" presId="urn:microsoft.com/office/officeart/2005/8/layout/chevron2"/>
    <dgm:cxn modelId="{AAC75774-7C31-4845-9538-B30837482BB8}" type="presParOf" srcId="{7633BC73-A65E-40A3-AD9B-8DD553099A09}" destId="{CA3579C0-D7BA-4F6F-97EB-AE135837A63B}" srcOrd="0" destOrd="0" presId="urn:microsoft.com/office/officeart/2005/8/layout/chevron2"/>
    <dgm:cxn modelId="{F630D05F-6E0E-4B48-8463-E3411E40F787}" type="presParOf" srcId="{7633BC73-A65E-40A3-AD9B-8DD553099A09}" destId="{DB2CE126-CDF3-4C9F-AA91-B78ED7819B62}"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AA1DD-0E04-4930-A64D-B87B0D40D03C}">
      <dsp:nvSpPr>
        <dsp:cNvPr id="0" name=""/>
        <dsp:cNvSpPr/>
      </dsp:nvSpPr>
      <dsp:spPr>
        <a:xfrm rot="10800000">
          <a:off x="704879" y="0"/>
          <a:ext cx="5210145" cy="82867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42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t>The COVID-19 pandemic has created considerable challenges and uncertainties around Medicaid cost reporting, rate setting, and emergency funding provisions found in Minnesota Statutes 12A.10.</a:t>
          </a:r>
        </a:p>
      </dsp:txBody>
      <dsp:txXfrm rot="10800000">
        <a:off x="912048" y="0"/>
        <a:ext cx="5002976" cy="828675"/>
      </dsp:txXfrm>
    </dsp:sp>
    <dsp:sp modelId="{3E5FBE9A-C28A-4A62-86F6-9C82DBBF5C4E}">
      <dsp:nvSpPr>
        <dsp:cNvPr id="0" name=""/>
        <dsp:cNvSpPr/>
      </dsp:nvSpPr>
      <dsp:spPr>
        <a:xfrm>
          <a:off x="66673" y="95243"/>
          <a:ext cx="628972" cy="657230"/>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AA1DD-0E04-4930-A64D-B87B0D40D03C}">
      <dsp:nvSpPr>
        <dsp:cNvPr id="0" name=""/>
        <dsp:cNvSpPr/>
      </dsp:nvSpPr>
      <dsp:spPr>
        <a:xfrm rot="10800000">
          <a:off x="704879" y="403"/>
          <a:ext cx="5210145" cy="827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4709"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t>Nursing Facilities have experienced a number of opposing forces at the same time during the pandemic</a:t>
          </a:r>
        </a:p>
      </dsp:txBody>
      <dsp:txXfrm rot="10800000">
        <a:off x="911846" y="403"/>
        <a:ext cx="5003178" cy="827867"/>
      </dsp:txXfrm>
    </dsp:sp>
    <dsp:sp modelId="{3E5FBE9A-C28A-4A62-86F6-9C82DBBF5C4E}">
      <dsp:nvSpPr>
        <dsp:cNvPr id="0" name=""/>
        <dsp:cNvSpPr/>
      </dsp:nvSpPr>
      <dsp:spPr>
        <a:xfrm>
          <a:off x="68478" y="95866"/>
          <a:ext cx="627744" cy="65594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AA1DD-0E04-4930-A64D-B87B0D40D03C}">
      <dsp:nvSpPr>
        <dsp:cNvPr id="0" name=""/>
        <dsp:cNvSpPr/>
      </dsp:nvSpPr>
      <dsp:spPr>
        <a:xfrm rot="10800000">
          <a:off x="742336" y="403"/>
          <a:ext cx="5487013" cy="827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4709"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t>Minnesota’s cost-based nursing facility payment system (Value-Based Reimbursement or VBR) establishes Medicaid and Private Pay Rates every January 1 based on the 12-Month Cost Report that ended 15-months earlier. </a:t>
          </a:r>
        </a:p>
      </dsp:txBody>
      <dsp:txXfrm rot="10800000">
        <a:off x="949303" y="403"/>
        <a:ext cx="5280046" cy="827867"/>
      </dsp:txXfrm>
    </dsp:sp>
    <dsp:sp modelId="{3E5FBE9A-C28A-4A62-86F6-9C82DBBF5C4E}">
      <dsp:nvSpPr>
        <dsp:cNvPr id="0" name=""/>
        <dsp:cNvSpPr/>
      </dsp:nvSpPr>
      <dsp:spPr>
        <a:xfrm>
          <a:off x="121128" y="95866"/>
          <a:ext cx="627744" cy="65594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AA1DD-0E04-4930-A64D-B87B0D40D03C}">
      <dsp:nvSpPr>
        <dsp:cNvPr id="0" name=""/>
        <dsp:cNvSpPr/>
      </dsp:nvSpPr>
      <dsp:spPr>
        <a:xfrm rot="10800000">
          <a:off x="704879" y="403"/>
          <a:ext cx="5210145" cy="827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4709" tIns="45720" rIns="85344" bIns="45720" numCol="1" spcCol="1270" anchor="ctr" anchorCtr="0">
          <a:noAutofit/>
        </a:bodyPr>
        <a:lstStyle/>
        <a:p>
          <a:pPr marL="0" lvl="0" indent="0" algn="l" defTabSz="533400">
            <a:lnSpc>
              <a:spcPct val="100000"/>
            </a:lnSpc>
            <a:spcBef>
              <a:spcPct val="0"/>
            </a:spcBef>
            <a:spcAft>
              <a:spcPts val="0"/>
            </a:spcAft>
            <a:buNone/>
          </a:pPr>
          <a:r>
            <a:rPr lang="en-US" sz="1200" b="1" kern="1200"/>
            <a:t>Nursing facilities have received increased emergency funding from several programs.</a:t>
          </a:r>
        </a:p>
        <a:p>
          <a:pPr marL="0" lvl="0" indent="0" algn="l" defTabSz="533400">
            <a:lnSpc>
              <a:spcPct val="100000"/>
            </a:lnSpc>
            <a:spcBef>
              <a:spcPct val="0"/>
            </a:spcBef>
            <a:spcAft>
              <a:spcPts val="0"/>
            </a:spcAft>
            <a:buNone/>
          </a:pPr>
          <a:r>
            <a:rPr lang="en-US" sz="1200" b="1" i="1" kern="1200">
              <a:solidFill>
                <a:srgbClr val="002060"/>
              </a:solidFill>
            </a:rPr>
            <a:t>CARES Act Provider Relief Fund (federal), Payroll Protection Program (federal), Minnesota Medicaid via 12A.10 statutes (state)</a:t>
          </a:r>
        </a:p>
      </dsp:txBody>
      <dsp:txXfrm rot="10800000">
        <a:off x="911846" y="403"/>
        <a:ext cx="5003178" cy="827867"/>
      </dsp:txXfrm>
    </dsp:sp>
    <dsp:sp modelId="{3E5FBE9A-C28A-4A62-86F6-9C82DBBF5C4E}">
      <dsp:nvSpPr>
        <dsp:cNvPr id="0" name=""/>
        <dsp:cNvSpPr/>
      </dsp:nvSpPr>
      <dsp:spPr>
        <a:xfrm>
          <a:off x="68478" y="95866"/>
          <a:ext cx="627744" cy="65594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AA1DD-0E04-4930-A64D-B87B0D40D03C}">
      <dsp:nvSpPr>
        <dsp:cNvPr id="0" name=""/>
        <dsp:cNvSpPr/>
      </dsp:nvSpPr>
      <dsp:spPr>
        <a:xfrm rot="10800000">
          <a:off x="704879" y="403"/>
          <a:ext cx="5210145" cy="827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4709" tIns="45720" rIns="85344" bIns="45720" numCol="1" spcCol="1270" anchor="ctr" anchorCtr="0">
          <a:noAutofit/>
        </a:bodyPr>
        <a:lstStyle/>
        <a:p>
          <a:pPr marL="0" lvl="0" indent="0" algn="l" defTabSz="533400">
            <a:lnSpc>
              <a:spcPct val="100000"/>
            </a:lnSpc>
            <a:spcBef>
              <a:spcPct val="0"/>
            </a:spcBef>
            <a:spcAft>
              <a:spcPts val="0"/>
            </a:spcAft>
            <a:buNone/>
          </a:pPr>
          <a:r>
            <a:rPr lang="en-US" sz="1200" b="1" kern="1200"/>
            <a:t>Of immediate concern is the timeline and sequencing by DHS of nursing facility requests under 12A.10. </a:t>
          </a:r>
          <a:endParaRPr lang="en-US" sz="1200" b="1" i="1" kern="1200">
            <a:solidFill>
              <a:srgbClr val="002060"/>
            </a:solidFill>
          </a:endParaRPr>
        </a:p>
      </dsp:txBody>
      <dsp:txXfrm rot="10800000">
        <a:off x="911846" y="403"/>
        <a:ext cx="5003178" cy="827867"/>
      </dsp:txXfrm>
    </dsp:sp>
    <dsp:sp modelId="{3E5FBE9A-C28A-4A62-86F6-9C82DBBF5C4E}">
      <dsp:nvSpPr>
        <dsp:cNvPr id="0" name=""/>
        <dsp:cNvSpPr/>
      </dsp:nvSpPr>
      <dsp:spPr>
        <a:xfrm>
          <a:off x="68478" y="95866"/>
          <a:ext cx="627744" cy="65594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AA1DD-0E04-4930-A64D-B87B0D40D03C}">
      <dsp:nvSpPr>
        <dsp:cNvPr id="0" name=""/>
        <dsp:cNvSpPr/>
      </dsp:nvSpPr>
      <dsp:spPr>
        <a:xfrm rot="10800000">
          <a:off x="704879" y="403"/>
          <a:ext cx="5210145" cy="827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4709" tIns="45720" rIns="85344" bIns="45720" numCol="1" spcCol="1270" anchor="ctr" anchorCtr="0">
          <a:noAutofit/>
        </a:bodyPr>
        <a:lstStyle/>
        <a:p>
          <a:pPr marL="0" lvl="0" indent="0" algn="l" defTabSz="533400">
            <a:lnSpc>
              <a:spcPct val="100000"/>
            </a:lnSpc>
            <a:spcBef>
              <a:spcPct val="0"/>
            </a:spcBef>
            <a:spcAft>
              <a:spcPts val="0"/>
            </a:spcAft>
            <a:buNone/>
          </a:pPr>
          <a:r>
            <a:rPr lang="en-US" sz="1200" b="1" kern="1200"/>
            <a:t>Rate setting in cost report years impacted by the pandemic is problematic due to lack of clarity about federal and state relief funding and how those relate to routine rates</a:t>
          </a:r>
          <a:endParaRPr lang="en-US" sz="1200" b="1" i="1" kern="1200">
            <a:solidFill>
              <a:srgbClr val="002060"/>
            </a:solidFill>
          </a:endParaRPr>
        </a:p>
      </dsp:txBody>
      <dsp:txXfrm rot="10800000">
        <a:off x="911846" y="403"/>
        <a:ext cx="5003178" cy="827867"/>
      </dsp:txXfrm>
    </dsp:sp>
    <dsp:sp modelId="{3E5FBE9A-C28A-4A62-86F6-9C82DBBF5C4E}">
      <dsp:nvSpPr>
        <dsp:cNvPr id="0" name=""/>
        <dsp:cNvSpPr/>
      </dsp:nvSpPr>
      <dsp:spPr>
        <a:xfrm>
          <a:off x="68478" y="95866"/>
          <a:ext cx="627744" cy="65594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3579C0-D7BA-4F6F-97EB-AE135837A63B}">
      <dsp:nvSpPr>
        <dsp:cNvPr id="0" name=""/>
        <dsp:cNvSpPr/>
      </dsp:nvSpPr>
      <dsp:spPr>
        <a:xfrm rot="5400000">
          <a:off x="-395637" y="785905"/>
          <a:ext cx="2445363" cy="13707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Solutions</a:t>
          </a:r>
        </a:p>
      </dsp:txBody>
      <dsp:txXfrm rot="-5400000">
        <a:off x="141647" y="934019"/>
        <a:ext cx="1370796" cy="1074567"/>
      </dsp:txXfrm>
    </dsp:sp>
    <dsp:sp modelId="{DB2CE126-CDF3-4C9F-AA91-B78ED7819B62}">
      <dsp:nvSpPr>
        <dsp:cNvPr id="0" name=""/>
        <dsp:cNvSpPr/>
      </dsp:nvSpPr>
      <dsp:spPr>
        <a:xfrm rot="5400000">
          <a:off x="2714697" y="-782391"/>
          <a:ext cx="2228651" cy="38569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Change 12A.10 statute to allow program provide funding without requiring use of federal relief funds first.</a:t>
          </a:r>
        </a:p>
        <a:p>
          <a:pPr marL="114300" lvl="1" indent="-114300" algn="l" defTabSz="533400">
            <a:lnSpc>
              <a:spcPct val="90000"/>
            </a:lnSpc>
            <a:spcBef>
              <a:spcPct val="0"/>
            </a:spcBef>
            <a:spcAft>
              <a:spcPct val="15000"/>
            </a:spcAft>
            <a:buChar char="•"/>
          </a:pPr>
          <a:r>
            <a:rPr lang="en-US" sz="1200" kern="1200"/>
            <a:t>Address sequencing and ordering of revenue and expense requirements between federal and state aid programs.</a:t>
          </a:r>
        </a:p>
        <a:p>
          <a:pPr marL="114300" lvl="1" indent="-114300" algn="l" defTabSz="533400">
            <a:lnSpc>
              <a:spcPct val="90000"/>
            </a:lnSpc>
            <a:spcBef>
              <a:spcPct val="0"/>
            </a:spcBef>
            <a:spcAft>
              <a:spcPct val="15000"/>
            </a:spcAft>
            <a:buChar char="•"/>
          </a:pPr>
          <a:r>
            <a:rPr lang="en-US" sz="1200" kern="1200"/>
            <a:t>Do not adjust routine rate calculations for federal relief funds that are intended to replace lost revenue</a:t>
          </a:r>
        </a:p>
        <a:p>
          <a:pPr marL="114300" lvl="1" indent="-114300" algn="l" defTabSz="533400">
            <a:lnSpc>
              <a:spcPct val="90000"/>
            </a:lnSpc>
            <a:spcBef>
              <a:spcPct val="0"/>
            </a:spcBef>
            <a:spcAft>
              <a:spcPct val="15000"/>
            </a:spcAft>
            <a:buChar char="•"/>
          </a:pPr>
          <a:r>
            <a:rPr lang="en-US" sz="1200" kern="1200"/>
            <a:t>These issues are really, really, really complicated. Flexiblity is needed.</a:t>
          </a:r>
        </a:p>
      </dsp:txBody>
      <dsp:txXfrm rot="-5400000">
        <a:off x="1900559" y="140541"/>
        <a:ext cx="3748134" cy="2011063"/>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4D6EC54A2C342A8EDB8E3617A2A32" ma:contentTypeVersion="11" ma:contentTypeDescription="Create a new document." ma:contentTypeScope="" ma:versionID="80d1579780233c015347fe6df93e27f9">
  <xsd:schema xmlns:xsd="http://www.w3.org/2001/XMLSchema" xmlns:xs="http://www.w3.org/2001/XMLSchema" xmlns:p="http://schemas.microsoft.com/office/2006/metadata/properties" xmlns:ns2="aac8676a-f598-4fa5-bd74-062eff41aa03" xmlns:ns3="ed2b67e5-11bb-4b47-b61a-396de9ea4ad8" targetNamespace="http://schemas.microsoft.com/office/2006/metadata/properties" ma:root="true" ma:fieldsID="b4780283c03e900ce7c1be23a5c675d2" ns2:_="" ns3:_="">
    <xsd:import namespace="aac8676a-f598-4fa5-bd74-062eff41aa03"/>
    <xsd:import namespace="ed2b67e5-11bb-4b47-b61a-396de9ea4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676a-f598-4fa5-bd74-062eff41aa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67e5-11bb-4b47-b61a-396de9ea4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03248-1A07-44E5-B636-6185595DF47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ed2b67e5-11bb-4b47-b61a-396de9ea4ad8"/>
    <ds:schemaRef ds:uri="http://schemas.openxmlformats.org/package/2006/metadata/core-properties"/>
    <ds:schemaRef ds:uri="aac8676a-f598-4fa5-bd74-062eff41aa03"/>
    <ds:schemaRef ds:uri="http://www.w3.org/XML/1998/namespace"/>
    <ds:schemaRef ds:uri="http://purl.org/dc/dcmitype/"/>
  </ds:schemaRefs>
</ds:datastoreItem>
</file>

<file path=customXml/itemProps2.xml><?xml version="1.0" encoding="utf-8"?>
<ds:datastoreItem xmlns:ds="http://schemas.openxmlformats.org/officeDocument/2006/customXml" ds:itemID="{2108342B-1968-438D-99EC-A184B9527104}">
  <ds:schemaRefs>
    <ds:schemaRef ds:uri="http://schemas.microsoft.com/sharepoint/v3/contenttype/forms"/>
  </ds:schemaRefs>
</ds:datastoreItem>
</file>

<file path=customXml/itemProps3.xml><?xml version="1.0" encoding="utf-8"?>
<ds:datastoreItem xmlns:ds="http://schemas.openxmlformats.org/officeDocument/2006/customXml" ds:itemID="{598D5713-EEF5-4BA1-8BD5-3C29DCCC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676a-f598-4fa5-bd74-062eff41aa03"/>
    <ds:schemaRef ds:uri="ed2b67e5-11bb-4b47-b61a-396de9ea4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Bergstrom</dc:creator>
  <cp:keywords/>
  <dc:description/>
  <cp:lastModifiedBy>Jeff Bostic</cp:lastModifiedBy>
  <cp:revision>2</cp:revision>
  <dcterms:created xsi:type="dcterms:W3CDTF">2021-02-01T14:32:00Z</dcterms:created>
  <dcterms:modified xsi:type="dcterms:W3CDTF">2021-02-01T14:32:00Z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0x0101007AD4D6EC54A2C342A8EDB8E3617A2A32</vt:lpwstr>
  </property>
</Properties>
</file>